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ADFD" w14:textId="4342D37E" w:rsidR="00C10D58" w:rsidRPr="008B6880" w:rsidRDefault="00B32CCF" w:rsidP="0031382F">
      <w:pPr>
        <w:spacing w:after="139" w:line="259" w:lineRule="auto"/>
        <w:ind w:left="0" w:right="5" w:firstLine="0"/>
        <w:jc w:val="right"/>
        <w:rPr>
          <w:bCs/>
          <w:color w:val="auto"/>
          <w:sz w:val="20"/>
          <w:szCs w:val="20"/>
        </w:rPr>
      </w:pPr>
      <w:r w:rsidRPr="008B6880">
        <w:rPr>
          <w:bCs/>
          <w:color w:val="auto"/>
          <w:sz w:val="20"/>
          <w:szCs w:val="20"/>
        </w:rPr>
        <w:t xml:space="preserve">Załącznik nr 2 do Regulaminu </w:t>
      </w:r>
      <w:r w:rsidR="00DF4FE2" w:rsidRPr="008B6880">
        <w:rPr>
          <w:bCs/>
          <w:color w:val="auto"/>
          <w:sz w:val="20"/>
          <w:szCs w:val="20"/>
        </w:rPr>
        <w:t>wyboru projektów</w:t>
      </w:r>
      <w:r w:rsidRPr="008B6880">
        <w:rPr>
          <w:bCs/>
          <w:color w:val="auto"/>
          <w:sz w:val="20"/>
          <w:szCs w:val="20"/>
        </w:rPr>
        <w:t xml:space="preserve"> </w:t>
      </w:r>
    </w:p>
    <w:p w14:paraId="6FED775B" w14:textId="77777777" w:rsidR="00C10D58" w:rsidRPr="008B6880" w:rsidRDefault="00B32CCF">
      <w:pPr>
        <w:spacing w:after="139" w:line="259" w:lineRule="auto"/>
        <w:ind w:left="50" w:right="0" w:firstLine="0"/>
        <w:jc w:val="center"/>
        <w:rPr>
          <w:color w:val="auto"/>
        </w:rPr>
      </w:pPr>
      <w:r w:rsidRPr="008B6880">
        <w:rPr>
          <w:b/>
          <w:color w:val="auto"/>
        </w:rPr>
        <w:t xml:space="preserve"> </w:t>
      </w:r>
    </w:p>
    <w:p w14:paraId="2FA846B9" w14:textId="11159575" w:rsidR="00643600" w:rsidRPr="008B6880" w:rsidRDefault="00AC427E" w:rsidP="00643600">
      <w:pPr>
        <w:spacing w:after="232" w:line="259" w:lineRule="auto"/>
        <w:ind w:left="0" w:right="9" w:firstLine="0"/>
        <w:jc w:val="center"/>
        <w:rPr>
          <w:b/>
          <w:color w:val="auto"/>
          <w:sz w:val="28"/>
          <w:szCs w:val="28"/>
        </w:rPr>
      </w:pPr>
      <w:r w:rsidRPr="008B6880">
        <w:rPr>
          <w:b/>
          <w:color w:val="auto"/>
          <w:sz w:val="26"/>
          <w:szCs w:val="26"/>
        </w:rPr>
        <w:t>Przykładowy katalog wydatków kwalifikowalnych i niekwalifikowalnych</w:t>
      </w:r>
    </w:p>
    <w:p w14:paraId="54CE6B5E" w14:textId="545E45D3" w:rsidR="00643600" w:rsidRPr="008B6880" w:rsidRDefault="00643600" w:rsidP="00643600">
      <w:pPr>
        <w:spacing w:after="232" w:line="259" w:lineRule="auto"/>
        <w:ind w:left="0" w:right="9" w:firstLine="0"/>
        <w:rPr>
          <w:b/>
          <w:bCs/>
          <w:color w:val="auto"/>
          <w:szCs w:val="24"/>
        </w:rPr>
      </w:pPr>
      <w:r w:rsidRPr="008B6880">
        <w:rPr>
          <w:color w:val="auto"/>
          <w:szCs w:val="24"/>
        </w:rPr>
        <w:t xml:space="preserve">Działanie </w:t>
      </w:r>
      <w:r w:rsidR="00B32CCF" w:rsidRPr="008B6880">
        <w:rPr>
          <w:b/>
          <w:bCs/>
          <w:color w:val="auto"/>
          <w:szCs w:val="24"/>
        </w:rPr>
        <w:t>FELB.02.</w:t>
      </w:r>
      <w:r w:rsidR="000071FA" w:rsidRPr="008B6880">
        <w:rPr>
          <w:b/>
          <w:bCs/>
          <w:color w:val="auto"/>
          <w:szCs w:val="24"/>
        </w:rPr>
        <w:t>13</w:t>
      </w:r>
      <w:r w:rsidR="00B32CCF" w:rsidRPr="008B6880">
        <w:rPr>
          <w:b/>
          <w:bCs/>
          <w:color w:val="auto"/>
          <w:szCs w:val="24"/>
        </w:rPr>
        <w:t xml:space="preserve"> </w:t>
      </w:r>
      <w:r w:rsidR="003332BC" w:rsidRPr="008B6880">
        <w:rPr>
          <w:b/>
          <w:bCs/>
          <w:color w:val="auto"/>
          <w:szCs w:val="24"/>
        </w:rPr>
        <w:t>Adaptacja do zmian klimatu</w:t>
      </w:r>
      <w:r w:rsidR="00487A90" w:rsidRPr="008B6880">
        <w:rPr>
          <w:b/>
          <w:bCs/>
          <w:color w:val="auto"/>
          <w:szCs w:val="24"/>
        </w:rPr>
        <w:t xml:space="preserve"> - </w:t>
      </w:r>
      <w:r w:rsidR="000071FA" w:rsidRPr="008B6880">
        <w:rPr>
          <w:b/>
          <w:bCs/>
          <w:color w:val="auto"/>
          <w:szCs w:val="24"/>
        </w:rPr>
        <w:t>IIT</w:t>
      </w:r>
      <w:r w:rsidRPr="008B6880">
        <w:rPr>
          <w:b/>
          <w:bCs/>
          <w:color w:val="auto"/>
          <w:szCs w:val="24"/>
        </w:rPr>
        <w:t>.</w:t>
      </w:r>
    </w:p>
    <w:p w14:paraId="1230AFA5" w14:textId="42A4C121" w:rsidR="003332BC" w:rsidRPr="008B6880" w:rsidRDefault="003332BC" w:rsidP="003332BC">
      <w:pPr>
        <w:spacing w:after="19" w:line="259" w:lineRule="auto"/>
        <w:ind w:left="0" w:right="0" w:firstLine="0"/>
        <w:rPr>
          <w:color w:val="auto"/>
          <w:szCs w:val="24"/>
        </w:rPr>
      </w:pPr>
      <w:r w:rsidRPr="008B6880">
        <w:rPr>
          <w:color w:val="auto"/>
          <w:szCs w:val="24"/>
        </w:rPr>
        <w:t>Typ III: Budowa, przebudowa lub remont urządzeń wodnych i infrastruktury towarzyszącej służących zmniejszeniu skutków powodzi lub suszy. Projekty o</w:t>
      </w:r>
      <w:r w:rsidR="008B6880">
        <w:rPr>
          <w:color w:val="auto"/>
          <w:szCs w:val="24"/>
        </w:rPr>
        <w:t> </w:t>
      </w:r>
      <w:r w:rsidRPr="008B6880">
        <w:rPr>
          <w:color w:val="auto"/>
          <w:szCs w:val="24"/>
        </w:rPr>
        <w:t>charakterze regionalnym i lokalnym wynikające z potrzeb JST.</w:t>
      </w:r>
    </w:p>
    <w:p w14:paraId="6BE0F901" w14:textId="078736BF" w:rsidR="00643600" w:rsidRPr="008B6880" w:rsidRDefault="003332BC" w:rsidP="003332BC">
      <w:pPr>
        <w:spacing w:after="19" w:line="259" w:lineRule="auto"/>
        <w:ind w:left="0" w:right="0" w:firstLine="0"/>
        <w:rPr>
          <w:color w:val="auto"/>
          <w:szCs w:val="24"/>
        </w:rPr>
      </w:pPr>
      <w:r w:rsidRPr="008B6880">
        <w:rPr>
          <w:color w:val="auto"/>
          <w:szCs w:val="24"/>
        </w:rPr>
        <w:t>Typ IV: Wspieranie małej retencji (w tym zagospodarowanie wód opadowych i</w:t>
      </w:r>
      <w:r w:rsidR="008B6880">
        <w:rPr>
          <w:color w:val="auto"/>
          <w:szCs w:val="24"/>
        </w:rPr>
        <w:t> </w:t>
      </w:r>
      <w:r w:rsidRPr="008B6880">
        <w:rPr>
          <w:color w:val="auto"/>
          <w:szCs w:val="24"/>
        </w:rPr>
        <w:t>roztopowych oraz rozwój błękitno-zielonej infrastruktury)wsparcie projektów realizowanych przez podmioty inne niż podlegające/nadzorowane przez administrację centralną.</w:t>
      </w:r>
    </w:p>
    <w:p w14:paraId="3F4EC377" w14:textId="40207D68" w:rsidR="003332BC" w:rsidRPr="008B6880" w:rsidRDefault="00AC427E" w:rsidP="003332BC">
      <w:pPr>
        <w:spacing w:after="19" w:line="259" w:lineRule="auto"/>
        <w:ind w:left="0" w:right="0" w:firstLine="0"/>
        <w:rPr>
          <w:color w:val="auto"/>
          <w:szCs w:val="24"/>
        </w:rPr>
      </w:pPr>
      <w:r w:rsidRPr="008B6880">
        <w:rPr>
          <w:color w:val="auto"/>
          <w:szCs w:val="24"/>
        </w:rPr>
        <w:t>Jako element uzupełniający będzie możliwość realizacji elementów edukacji w</w:t>
      </w:r>
      <w:r w:rsidR="008B6880">
        <w:rPr>
          <w:color w:val="auto"/>
          <w:szCs w:val="24"/>
        </w:rPr>
        <w:t> </w:t>
      </w:r>
      <w:r w:rsidRPr="008B6880">
        <w:rPr>
          <w:color w:val="auto"/>
          <w:szCs w:val="24"/>
        </w:rPr>
        <w:t>obszarze zmian klimatycznych oraz ochrony zasobów wodnych.</w:t>
      </w:r>
    </w:p>
    <w:p w14:paraId="7B5313DD" w14:textId="77777777" w:rsidR="005E7DF5" w:rsidRPr="008B6880" w:rsidRDefault="005E7DF5" w:rsidP="005E7DF5">
      <w:pPr>
        <w:spacing w:before="240" w:after="120" w:line="276" w:lineRule="auto"/>
        <w:ind w:left="0" w:right="0" w:firstLine="0"/>
        <w:rPr>
          <w:color w:val="auto"/>
          <w:szCs w:val="24"/>
        </w:rPr>
      </w:pPr>
      <w:r w:rsidRPr="008B6880">
        <w:rPr>
          <w:color w:val="auto"/>
          <w:szCs w:val="24"/>
        </w:rPr>
        <w:t xml:space="preserve">Początkiem okresu kwalifikowalności wydatków jest </w:t>
      </w:r>
      <w:r w:rsidRPr="008B6880">
        <w:rPr>
          <w:b/>
          <w:color w:val="auto"/>
          <w:szCs w:val="24"/>
          <w:u w:val="single" w:color="000000"/>
        </w:rPr>
        <w:t>1 stycznia 2021 r.</w:t>
      </w:r>
      <w:r w:rsidRPr="008B6880">
        <w:rPr>
          <w:color w:val="auto"/>
          <w:szCs w:val="24"/>
        </w:rPr>
        <w:t xml:space="preserve"> W  przypadku projektów rozpoczętych przed początkową datą kwalifikowalności wydatków, do współfinansowania kwalifikują się jedynie wydatki faktycznie poniesione od tej daty. Wydatki poniesione wcześniej nie stanowią wydatku kwalifikowalnego. Końcową data kwalifikowalności wydatków jest dzień </w:t>
      </w:r>
      <w:r w:rsidRPr="008B6880">
        <w:rPr>
          <w:b/>
          <w:color w:val="auto"/>
          <w:szCs w:val="24"/>
          <w:u w:val="single" w:color="000000"/>
        </w:rPr>
        <w:t>31 grudnia 2029 r.</w:t>
      </w:r>
      <w:r w:rsidRPr="008B6880">
        <w:rPr>
          <w:b/>
          <w:color w:val="auto"/>
          <w:szCs w:val="24"/>
        </w:rPr>
        <w:t xml:space="preserve"> </w:t>
      </w:r>
    </w:p>
    <w:p w14:paraId="3D2DFDFF" w14:textId="77777777" w:rsidR="005E7DF5" w:rsidRPr="008B6880" w:rsidRDefault="005E7DF5" w:rsidP="005E7DF5">
      <w:pPr>
        <w:spacing w:after="120"/>
        <w:ind w:left="-15" w:firstLine="0"/>
        <w:rPr>
          <w:color w:val="auto"/>
          <w:szCs w:val="24"/>
          <w:u w:val="single" w:color="000000"/>
        </w:rPr>
      </w:pPr>
      <w:r w:rsidRPr="008B6880">
        <w:rPr>
          <w:color w:val="auto"/>
          <w:szCs w:val="24"/>
        </w:rPr>
        <w:t xml:space="preserve">Dofinansowania nie może uzyskać projekt, który został fizycznie ukończony (w przypadku robót budowlanych) lub w pełni wdrożony (w przypadku dostaw i usług) </w:t>
      </w:r>
      <w:r w:rsidRPr="008B6880">
        <w:rPr>
          <w:color w:val="auto"/>
          <w:szCs w:val="24"/>
          <w:u w:val="single" w:color="000000"/>
        </w:rPr>
        <w:t>przed złożeniem wniosku o  dofinansowanie</w:t>
      </w:r>
      <w:r w:rsidRPr="008B6880">
        <w:rPr>
          <w:color w:val="auto"/>
          <w:szCs w:val="24"/>
        </w:rPr>
        <w:t xml:space="preserve"> w ramach ogłoszonego naboru, niezależnie od tego, czy wszystkie powiązane płatności zostały dokonane przez Beneficjenta. </w:t>
      </w:r>
    </w:p>
    <w:p w14:paraId="2875EB17" w14:textId="77777777" w:rsidR="005E7DF5" w:rsidRPr="008B6880" w:rsidRDefault="005E7DF5" w:rsidP="005E7DF5">
      <w:pPr>
        <w:spacing w:line="276" w:lineRule="auto"/>
        <w:ind w:left="-5" w:right="0"/>
        <w:rPr>
          <w:color w:val="auto"/>
          <w:szCs w:val="24"/>
        </w:rPr>
      </w:pPr>
      <w:r w:rsidRPr="008B6880">
        <w:rPr>
          <w:color w:val="auto"/>
          <w:szCs w:val="24"/>
        </w:rPr>
        <w:t xml:space="preserve"> </w:t>
      </w:r>
      <w:r w:rsidRPr="008B6880">
        <w:rPr>
          <w:b/>
          <w:color w:val="auto"/>
          <w:szCs w:val="24"/>
          <w:u w:val="single" w:color="000000"/>
        </w:rPr>
        <w:t>Ocena kwalifikowalności wydatku</w:t>
      </w:r>
      <w:r w:rsidRPr="008B6880">
        <w:rPr>
          <w:color w:val="auto"/>
          <w:szCs w:val="24"/>
        </w:rPr>
        <w:t xml:space="preserve"> polega na analizie jego poniesienia zgodnie z  obowiązującymi przepisami prawa unijnego i prawa krajowego, umową o  dofinansowanie/ decyzją/porozumieniem, </w:t>
      </w:r>
      <w:r w:rsidRPr="008B6880">
        <w:rPr>
          <w:i/>
          <w:color w:val="auto"/>
          <w:szCs w:val="24"/>
        </w:rPr>
        <w:t>Wytycznymi Minister Funduszy i Polityki Regionalnej dotyczące kwalifikowalności wydatków na lata 2021-2027</w:t>
      </w:r>
      <w:r w:rsidRPr="008B6880">
        <w:rPr>
          <w:color w:val="auto"/>
          <w:szCs w:val="24"/>
        </w:rPr>
        <w:t xml:space="preserve"> z 14 marca 2025 r. (zwanymi dalej Wytycznymi) oraz innymi dokumentami, do których stosowania Beneficjent zobowiązał się w umowie  o dofinansowanie/decyzji/ porozumieniu.</w:t>
      </w:r>
    </w:p>
    <w:p w14:paraId="4EC8A7D2" w14:textId="77777777" w:rsidR="005E7DF5" w:rsidRPr="008B6880" w:rsidRDefault="005E7DF5" w:rsidP="005E7DF5">
      <w:pPr>
        <w:spacing w:line="276" w:lineRule="auto"/>
        <w:ind w:left="-5" w:right="0"/>
        <w:rPr>
          <w:color w:val="auto"/>
          <w:szCs w:val="24"/>
        </w:rPr>
      </w:pPr>
      <w:r w:rsidRPr="008B6880">
        <w:rPr>
          <w:color w:val="auto"/>
          <w:szCs w:val="24"/>
        </w:rPr>
        <w:t xml:space="preserve">Na etapie oceny formalnej oraz oceny merytorycznej projektu o dofinansowanie dokonywana jest ocena kwalifikowalności </w:t>
      </w:r>
      <w:r w:rsidRPr="008B6880">
        <w:rPr>
          <w:b/>
          <w:color w:val="auto"/>
          <w:szCs w:val="24"/>
          <w:u w:val="single" w:color="000000"/>
        </w:rPr>
        <w:t>planowanych</w:t>
      </w:r>
      <w:r w:rsidRPr="008B6880">
        <w:rPr>
          <w:color w:val="auto"/>
          <w:szCs w:val="24"/>
        </w:rPr>
        <w:t xml:space="preserve"> wydatków. </w:t>
      </w:r>
      <w:r w:rsidRPr="008B6880">
        <w:rPr>
          <w:color w:val="auto"/>
          <w:szCs w:val="24"/>
          <w:u w:val="single" w:color="000000"/>
        </w:rPr>
        <w:t>Pozytywna ocena i przyznanie dofinansowania</w:t>
      </w:r>
      <w:r w:rsidRPr="008B6880">
        <w:rPr>
          <w:color w:val="auto"/>
          <w:szCs w:val="24"/>
        </w:rPr>
        <w:t xml:space="preserve"> </w:t>
      </w:r>
      <w:r w:rsidRPr="008B6880">
        <w:rPr>
          <w:color w:val="auto"/>
          <w:szCs w:val="24"/>
          <w:u w:val="single" w:color="000000"/>
        </w:rPr>
        <w:t>na realizację projektu i podpisanie z Beneficjentem umowy o dofinansowanie nie oznacza, że wszystkie</w:t>
      </w:r>
      <w:r w:rsidRPr="008B6880">
        <w:rPr>
          <w:color w:val="auto"/>
          <w:szCs w:val="24"/>
        </w:rPr>
        <w:t xml:space="preserve"> </w:t>
      </w:r>
      <w:r w:rsidRPr="008B6880">
        <w:rPr>
          <w:color w:val="auto"/>
          <w:szCs w:val="24"/>
          <w:u w:val="single" w:color="000000"/>
        </w:rPr>
        <w:t xml:space="preserve">wydatki, które Beneficjent </w:t>
      </w:r>
      <w:r w:rsidRPr="008B6880">
        <w:rPr>
          <w:color w:val="auto"/>
          <w:szCs w:val="24"/>
          <w:u w:val="single" w:color="000000"/>
        </w:rPr>
        <w:lastRenderedPageBreak/>
        <w:t>przedstawi we wniosku o płatność w trakcie realizacji projektu na pewno będą</w:t>
      </w:r>
      <w:r w:rsidRPr="008B6880">
        <w:rPr>
          <w:color w:val="auto"/>
          <w:szCs w:val="24"/>
        </w:rPr>
        <w:t xml:space="preserve"> </w:t>
      </w:r>
      <w:r w:rsidRPr="008B6880">
        <w:rPr>
          <w:color w:val="auto"/>
          <w:szCs w:val="24"/>
          <w:u w:val="single" w:color="000000"/>
        </w:rPr>
        <w:t>zrefundowane lub rozliczone (w przypadku zaliczek).</w:t>
      </w:r>
      <w:r w:rsidRPr="008B6880">
        <w:rPr>
          <w:color w:val="auto"/>
          <w:szCs w:val="24"/>
        </w:rPr>
        <w:t xml:space="preserve"> Kwalifikowalność wydatków jest również oceniana w trakcie realizacji projektu, kiedy Beneficjent przedkłada kolejne wnioski o płatność oraz podczas kontroli projektu. Ocena kwalifikowalności poniesionych wydatków jest prowadzona także  po zakończeniu realizacji projektu – w  zakresie obowiązków nałożonych na Beneficjenta Umową  o dofinansowanie oraz wynikających z przepisów prawa. </w:t>
      </w:r>
    </w:p>
    <w:p w14:paraId="0E37066B" w14:textId="6D087797" w:rsidR="00C10D58" w:rsidRPr="008B6880" w:rsidRDefault="00B32CCF" w:rsidP="00AC427E">
      <w:pPr>
        <w:spacing w:before="240"/>
        <w:ind w:right="0"/>
        <w:rPr>
          <w:color w:val="auto"/>
          <w:szCs w:val="24"/>
        </w:rPr>
      </w:pPr>
      <w:r w:rsidRPr="008B6880">
        <w:rPr>
          <w:color w:val="auto"/>
          <w:szCs w:val="24"/>
        </w:rPr>
        <w:t xml:space="preserve">W trakcie realizacji projektu sprawdzeniu podlega </w:t>
      </w:r>
      <w:r w:rsidR="00AC427E" w:rsidRPr="008B6880">
        <w:rPr>
          <w:color w:val="auto"/>
          <w:szCs w:val="24"/>
          <w:u w:val="single" w:color="000000"/>
        </w:rPr>
        <w:t>w szczególności czy wydatek:</w:t>
      </w:r>
    </w:p>
    <w:p w14:paraId="3F111B73" w14:textId="77777777" w:rsidR="00B17364" w:rsidRPr="008B6880" w:rsidRDefault="00B32CCF" w:rsidP="00B17364">
      <w:pPr>
        <w:pStyle w:val="Akapitzlist"/>
        <w:numPr>
          <w:ilvl w:val="0"/>
          <w:numId w:val="5"/>
        </w:numPr>
        <w:ind w:right="0"/>
        <w:rPr>
          <w:color w:val="auto"/>
          <w:szCs w:val="24"/>
        </w:rPr>
      </w:pPr>
      <w:r w:rsidRPr="008B6880">
        <w:rPr>
          <w:color w:val="auto"/>
          <w:szCs w:val="24"/>
        </w:rPr>
        <w:t xml:space="preserve">jest zgodny z przepisami prawa, </w:t>
      </w:r>
    </w:p>
    <w:p w14:paraId="1C2048FC" w14:textId="5D850A84" w:rsidR="00B17364" w:rsidRPr="008B6880" w:rsidRDefault="00B32CCF" w:rsidP="00B17364">
      <w:pPr>
        <w:pStyle w:val="Akapitzlist"/>
        <w:numPr>
          <w:ilvl w:val="0"/>
          <w:numId w:val="5"/>
        </w:numPr>
        <w:ind w:right="0"/>
        <w:rPr>
          <w:color w:val="auto"/>
          <w:szCs w:val="24"/>
        </w:rPr>
      </w:pPr>
      <w:r w:rsidRPr="008B6880">
        <w:rPr>
          <w:color w:val="auto"/>
          <w:szCs w:val="24"/>
        </w:rPr>
        <w:t>jest zgodny z umową o dofinansowanie projektu i Wytycznymi oraz innymi procedurami,  do stosowania których beneficjent zobowiązał się w umowie o</w:t>
      </w:r>
      <w:r w:rsidR="006D5A36" w:rsidRPr="008B6880">
        <w:rPr>
          <w:color w:val="auto"/>
          <w:szCs w:val="24"/>
        </w:rPr>
        <w:t> </w:t>
      </w:r>
      <w:r w:rsidRPr="008B6880">
        <w:rPr>
          <w:color w:val="auto"/>
          <w:szCs w:val="24"/>
        </w:rPr>
        <w:t xml:space="preserve"> dofinansowanie projektu, </w:t>
      </w:r>
    </w:p>
    <w:p w14:paraId="65B230C9" w14:textId="77777777" w:rsidR="00B17364" w:rsidRPr="008B6880" w:rsidRDefault="00B32CCF" w:rsidP="00B17364">
      <w:pPr>
        <w:pStyle w:val="Akapitzlist"/>
        <w:numPr>
          <w:ilvl w:val="0"/>
          <w:numId w:val="5"/>
        </w:numPr>
        <w:ind w:right="0"/>
        <w:rPr>
          <w:color w:val="auto"/>
          <w:szCs w:val="24"/>
        </w:rPr>
      </w:pPr>
      <w:r w:rsidRPr="008B6880">
        <w:rPr>
          <w:color w:val="auto"/>
          <w:szCs w:val="24"/>
        </w:rPr>
        <w:t xml:space="preserve">został faktycznie poniesiony zgodnie z zasadą określoną w podrozdziale 3.1, Wytycznych w okresie wskazanym w umowie o dofinansowanie projektu,  </w:t>
      </w:r>
    </w:p>
    <w:p w14:paraId="6F408193" w14:textId="77777777" w:rsidR="00B17364" w:rsidRPr="008B6880" w:rsidRDefault="00B32CCF" w:rsidP="00B17364">
      <w:pPr>
        <w:pStyle w:val="Akapitzlist"/>
        <w:numPr>
          <w:ilvl w:val="0"/>
          <w:numId w:val="5"/>
        </w:numPr>
        <w:ind w:right="0"/>
        <w:rPr>
          <w:color w:val="auto"/>
          <w:szCs w:val="24"/>
        </w:rPr>
      </w:pPr>
      <w:r w:rsidRPr="008B6880">
        <w:rPr>
          <w:color w:val="auto"/>
          <w:szCs w:val="24"/>
        </w:rPr>
        <w:t xml:space="preserve">spełnia warunki określone w programie i SZOP oraz regulaminie wyboru projektów, </w:t>
      </w:r>
    </w:p>
    <w:p w14:paraId="1E4545E2" w14:textId="53F164D6" w:rsidR="00B17364" w:rsidRPr="008B6880" w:rsidRDefault="00B32CCF" w:rsidP="00B17364">
      <w:pPr>
        <w:pStyle w:val="Akapitzlist"/>
        <w:numPr>
          <w:ilvl w:val="0"/>
          <w:numId w:val="5"/>
        </w:numPr>
        <w:ind w:right="0"/>
        <w:rPr>
          <w:color w:val="auto"/>
          <w:szCs w:val="24"/>
        </w:rPr>
      </w:pPr>
      <w:r w:rsidRPr="008B6880">
        <w:rPr>
          <w:color w:val="auto"/>
          <w:szCs w:val="24"/>
        </w:rPr>
        <w:t>jest niezbędny do realizacji celów projektu i został poniesiony w związku z</w:t>
      </w:r>
      <w:r w:rsidR="006D5A36" w:rsidRPr="008B6880">
        <w:rPr>
          <w:color w:val="auto"/>
          <w:szCs w:val="24"/>
        </w:rPr>
        <w:t> </w:t>
      </w:r>
      <w:r w:rsidRPr="008B6880">
        <w:rPr>
          <w:color w:val="auto"/>
          <w:szCs w:val="24"/>
        </w:rPr>
        <w:t xml:space="preserve"> realizacją projektu, </w:t>
      </w:r>
    </w:p>
    <w:p w14:paraId="1AAB678C" w14:textId="77777777" w:rsidR="00B17364" w:rsidRPr="008B6880" w:rsidRDefault="00B32CCF" w:rsidP="00B17364">
      <w:pPr>
        <w:pStyle w:val="Akapitzlist"/>
        <w:numPr>
          <w:ilvl w:val="0"/>
          <w:numId w:val="5"/>
        </w:numPr>
        <w:ind w:right="0"/>
        <w:rPr>
          <w:color w:val="auto"/>
          <w:szCs w:val="24"/>
        </w:rPr>
      </w:pPr>
      <w:r w:rsidRPr="008B6880">
        <w:rPr>
          <w:color w:val="auto"/>
          <w:szCs w:val="24"/>
        </w:rPr>
        <w:t xml:space="preserve">został dokonany w sposób przejrzysty, racjonalny i efektywny, z zachowaniem zasad uzyskiwania najlepszych efektów z danych nakładów, </w:t>
      </w:r>
    </w:p>
    <w:p w14:paraId="58712791" w14:textId="6EB63B62" w:rsidR="00B17364" w:rsidRPr="008B6880" w:rsidRDefault="00B32CCF" w:rsidP="00B17364">
      <w:pPr>
        <w:pStyle w:val="Akapitzlist"/>
        <w:numPr>
          <w:ilvl w:val="0"/>
          <w:numId w:val="5"/>
        </w:numPr>
        <w:ind w:right="0"/>
        <w:rPr>
          <w:color w:val="auto"/>
          <w:szCs w:val="24"/>
        </w:rPr>
      </w:pPr>
      <w:r w:rsidRPr="008B6880">
        <w:rPr>
          <w:color w:val="auto"/>
          <w:szCs w:val="24"/>
        </w:rPr>
        <w:t>został należycie udokumentowany zgodnie z wymogami określonymi w</w:t>
      </w:r>
      <w:r w:rsidR="006D5A36" w:rsidRPr="008B6880">
        <w:rPr>
          <w:color w:val="auto"/>
          <w:szCs w:val="24"/>
        </w:rPr>
        <w:t> </w:t>
      </w:r>
      <w:r w:rsidRPr="008B6880">
        <w:rPr>
          <w:color w:val="auto"/>
          <w:szCs w:val="24"/>
        </w:rPr>
        <w:t xml:space="preserve"> Wytycznych oraz z zasadami określonymi przez IZ, </w:t>
      </w:r>
    </w:p>
    <w:p w14:paraId="4D052FB3" w14:textId="77777777" w:rsidR="00B17364" w:rsidRPr="008B6880" w:rsidRDefault="00B32CCF" w:rsidP="00B17364">
      <w:pPr>
        <w:pStyle w:val="Akapitzlist"/>
        <w:numPr>
          <w:ilvl w:val="0"/>
          <w:numId w:val="5"/>
        </w:numPr>
        <w:ind w:right="0"/>
        <w:rPr>
          <w:color w:val="auto"/>
          <w:szCs w:val="24"/>
        </w:rPr>
      </w:pPr>
      <w:r w:rsidRPr="008B6880">
        <w:rPr>
          <w:color w:val="auto"/>
          <w:szCs w:val="24"/>
        </w:rPr>
        <w:t xml:space="preserve">został rozliczony we wniosku beneficjenta o płatność, </w:t>
      </w:r>
    </w:p>
    <w:p w14:paraId="1351D065" w14:textId="03CEF861" w:rsidR="00C10D58" w:rsidRPr="008B6880" w:rsidRDefault="00B32CCF" w:rsidP="00B64718">
      <w:pPr>
        <w:pStyle w:val="Akapitzlist"/>
        <w:numPr>
          <w:ilvl w:val="0"/>
          <w:numId w:val="5"/>
        </w:numPr>
        <w:spacing w:before="240"/>
        <w:ind w:right="0"/>
        <w:rPr>
          <w:color w:val="auto"/>
          <w:szCs w:val="24"/>
        </w:rPr>
      </w:pPr>
      <w:r w:rsidRPr="008B6880">
        <w:rPr>
          <w:color w:val="auto"/>
          <w:szCs w:val="24"/>
        </w:rPr>
        <w:t>dotyczy towarów dostarczonych lub usług wykonanych lub robót budowlanych zrealizowanych</w:t>
      </w:r>
      <w:r w:rsidR="00FA7A93" w:rsidRPr="008B6880">
        <w:rPr>
          <w:color w:val="auto"/>
          <w:szCs w:val="24"/>
        </w:rPr>
        <w:t>.</w:t>
      </w:r>
    </w:p>
    <w:p w14:paraId="75F496A2" w14:textId="77777777" w:rsidR="00AC427E" w:rsidRPr="008B6880" w:rsidRDefault="00AC427E" w:rsidP="00B64718">
      <w:pPr>
        <w:spacing w:before="240" w:line="276" w:lineRule="auto"/>
        <w:ind w:left="-15" w:right="0" w:firstLine="0"/>
        <w:rPr>
          <w:color w:val="auto"/>
          <w:szCs w:val="24"/>
        </w:rPr>
      </w:pPr>
      <w:r w:rsidRPr="008B6880">
        <w:rPr>
          <w:color w:val="auto"/>
          <w:szCs w:val="24"/>
        </w:rPr>
        <w:t xml:space="preserve">Katalog wydatków kwalifikowalnych jest </w:t>
      </w:r>
      <w:r w:rsidRPr="008B6880">
        <w:rPr>
          <w:b/>
          <w:bCs/>
          <w:color w:val="auto"/>
          <w:szCs w:val="24"/>
        </w:rPr>
        <w:t xml:space="preserve">katalogiem otwartym </w:t>
      </w:r>
      <w:r w:rsidRPr="008B6880">
        <w:rPr>
          <w:color w:val="auto"/>
          <w:szCs w:val="24"/>
        </w:rPr>
        <w:t>i zawiera jedynie przykłady wydatków, które w szczególności uznawane są przez IZ FEWL jako wydatki kwalifikowalne.</w:t>
      </w:r>
    </w:p>
    <w:p w14:paraId="1647C42D" w14:textId="57EA6375" w:rsidR="00B64718" w:rsidRPr="008B6880" w:rsidRDefault="00AC427E" w:rsidP="00AC427E">
      <w:pPr>
        <w:spacing w:after="0" w:line="276" w:lineRule="auto"/>
        <w:ind w:left="0" w:right="9" w:firstLine="0"/>
        <w:rPr>
          <w:color w:val="auto"/>
          <w:szCs w:val="24"/>
        </w:rPr>
      </w:pPr>
      <w:r w:rsidRPr="008B6880">
        <w:rPr>
          <w:color w:val="auto"/>
          <w:szCs w:val="24"/>
        </w:rPr>
        <w:t>Niniejszy załącznik do Regulaminu wyboru projektów określa przykładowy katalog wydatków kwalifikowalnych  w projektach realizowanych w ramach Priorytet</w:t>
      </w:r>
      <w:r w:rsidR="005E7DF5" w:rsidRPr="008B6880">
        <w:rPr>
          <w:color w:val="auto"/>
          <w:szCs w:val="24"/>
        </w:rPr>
        <w:t>u</w:t>
      </w:r>
      <w:r w:rsidRPr="008B6880">
        <w:rPr>
          <w:color w:val="auto"/>
          <w:szCs w:val="24"/>
        </w:rPr>
        <w:t xml:space="preserve"> FELB.02 Fundusze europejskie na zielony rozwój lubuskiego Działanie FELB.02.13 Adaptacja do zmian klimatu - IIT.</w:t>
      </w:r>
    </w:p>
    <w:p w14:paraId="2BF9F4CD" w14:textId="4A1DD2C6" w:rsidR="0073751D" w:rsidRPr="008B6880" w:rsidRDefault="00B64718" w:rsidP="00B64718">
      <w:pPr>
        <w:pStyle w:val="Nagwek1"/>
        <w:spacing w:before="240"/>
        <w:ind w:left="177" w:hanging="192"/>
        <w:rPr>
          <w:b w:val="0"/>
          <w:color w:val="auto"/>
          <w:sz w:val="24"/>
          <w:szCs w:val="24"/>
          <w:u w:val="none"/>
        </w:rPr>
      </w:pPr>
      <w:r w:rsidRPr="008B6880">
        <w:rPr>
          <w:color w:val="auto"/>
          <w:sz w:val="24"/>
          <w:szCs w:val="24"/>
        </w:rPr>
        <w:lastRenderedPageBreak/>
        <w:t>Przykładowe w</w:t>
      </w:r>
      <w:r w:rsidR="00B32CCF" w:rsidRPr="008B6880">
        <w:rPr>
          <w:color w:val="auto"/>
          <w:sz w:val="24"/>
          <w:szCs w:val="24"/>
        </w:rPr>
        <w:t>ydatki kwalifikowalne</w:t>
      </w:r>
      <w:r w:rsidR="00B32CCF" w:rsidRPr="008B6880">
        <w:rPr>
          <w:b w:val="0"/>
          <w:color w:val="auto"/>
          <w:sz w:val="24"/>
          <w:szCs w:val="24"/>
          <w:u w:val="none"/>
        </w:rPr>
        <w:t xml:space="preserve"> </w:t>
      </w:r>
    </w:p>
    <w:p w14:paraId="2F3120BC" w14:textId="70F74CE1" w:rsidR="00C83EFA" w:rsidRPr="008B6880" w:rsidRDefault="0073751D" w:rsidP="00B64718">
      <w:pPr>
        <w:spacing w:before="240" w:after="19" w:line="259" w:lineRule="auto"/>
        <w:ind w:left="0" w:right="0" w:firstLine="0"/>
        <w:rPr>
          <w:color w:val="auto"/>
          <w:szCs w:val="24"/>
        </w:rPr>
      </w:pPr>
      <w:r w:rsidRPr="008B6880">
        <w:rPr>
          <w:color w:val="auto"/>
        </w:rPr>
        <w:t xml:space="preserve">Typ </w:t>
      </w:r>
      <w:r w:rsidRPr="008B6880">
        <w:rPr>
          <w:color w:val="auto"/>
          <w:szCs w:val="24"/>
        </w:rPr>
        <w:t>II</w:t>
      </w:r>
      <w:r w:rsidR="00C83EFA" w:rsidRPr="008B6880">
        <w:rPr>
          <w:color w:val="auto"/>
          <w:szCs w:val="24"/>
        </w:rPr>
        <w:t xml:space="preserve">I: Budowa, przebudowa lub remont urządzeń wodnych i infrastruktury towarzyszącej służących zmniejszeniu skutków powodzi lub suszy. Projekty </w:t>
      </w:r>
      <w:r w:rsidR="00C83EFA" w:rsidRPr="008B6880">
        <w:t>o</w:t>
      </w:r>
      <w:r w:rsidR="008B6880">
        <w:t> </w:t>
      </w:r>
      <w:r w:rsidR="00C83EFA" w:rsidRPr="008B6880">
        <w:t>charakterze</w:t>
      </w:r>
      <w:r w:rsidR="00C83EFA" w:rsidRPr="008B6880">
        <w:rPr>
          <w:color w:val="auto"/>
          <w:szCs w:val="24"/>
        </w:rPr>
        <w:t xml:space="preserve"> regionalnym i lokalnym wynikające z potrzeb JST.</w:t>
      </w:r>
    </w:p>
    <w:p w14:paraId="21B2CFA5" w14:textId="5F6CC668" w:rsidR="005F049F" w:rsidRPr="008B6880" w:rsidRDefault="005F049F" w:rsidP="00B64718">
      <w:pPr>
        <w:spacing w:before="240"/>
        <w:rPr>
          <w:color w:val="auto"/>
        </w:rPr>
      </w:pPr>
      <w:r w:rsidRPr="008B6880">
        <w:rPr>
          <w:color w:val="auto"/>
        </w:rPr>
        <w:t>Inwestycje w zakresie zwiększenia naturalnej retencji oraz działań wspierających przeciwdziałania skutkom susz lub powodzi. Projekty mające na celu ochronę i</w:t>
      </w:r>
      <w:r w:rsidR="008B6880">
        <w:rPr>
          <w:color w:val="auto"/>
        </w:rPr>
        <w:t> </w:t>
      </w:r>
      <w:r w:rsidRPr="008B6880">
        <w:rPr>
          <w:color w:val="auto"/>
        </w:rPr>
        <w:t xml:space="preserve">odtworzenie naturalnego lub półnaturalnego ekosystemu retencjonującego wodę (tj. torfowiska, bagna, tereny podmokłe, stawy, starorzecza i oczka wodne, trwałe użytki zielone). </w:t>
      </w:r>
    </w:p>
    <w:p w14:paraId="60130BCA" w14:textId="224905C5" w:rsidR="006F4D0D" w:rsidRPr="008B6880" w:rsidRDefault="006F4D0D" w:rsidP="001F3F83">
      <w:pPr>
        <w:spacing w:before="240" w:after="120" w:line="269" w:lineRule="auto"/>
        <w:ind w:left="-6" w:right="0" w:hanging="11"/>
        <w:rPr>
          <w:color w:val="auto"/>
          <w:szCs w:val="24"/>
        </w:rPr>
      </w:pPr>
      <w:r w:rsidRPr="008B6880">
        <w:rPr>
          <w:color w:val="auto"/>
          <w:szCs w:val="24"/>
        </w:rPr>
        <w:t>Jako element uzupełniający będzie możliwość realizacji elementów edukacji w</w:t>
      </w:r>
      <w:r w:rsidR="008B6880">
        <w:rPr>
          <w:color w:val="auto"/>
          <w:szCs w:val="24"/>
        </w:rPr>
        <w:t> </w:t>
      </w:r>
      <w:r w:rsidRPr="008B6880">
        <w:rPr>
          <w:color w:val="auto"/>
          <w:szCs w:val="24"/>
        </w:rPr>
        <w:t>obszarze zmian klimatycznych oraz ochrony zasobów wodnych.</w:t>
      </w:r>
    </w:p>
    <w:p w14:paraId="4EF97824" w14:textId="5E80892D" w:rsidR="005F049F" w:rsidRPr="008B6880" w:rsidRDefault="009F11EB" w:rsidP="009F11EB">
      <w:pPr>
        <w:pStyle w:val="Akapitzlist"/>
        <w:numPr>
          <w:ilvl w:val="0"/>
          <w:numId w:val="28"/>
        </w:numPr>
        <w:ind w:left="284" w:hanging="426"/>
        <w:rPr>
          <w:color w:val="auto"/>
        </w:rPr>
      </w:pPr>
      <w:r w:rsidRPr="008B6880">
        <w:rPr>
          <w:color w:val="auto"/>
        </w:rPr>
        <w:t xml:space="preserve">Do wydatków kwalifikowalnych, mogą zostać zaliczone między innymi następujące </w:t>
      </w:r>
      <w:r w:rsidR="005F049F" w:rsidRPr="008B6880">
        <w:rPr>
          <w:color w:val="auto"/>
        </w:rPr>
        <w:t xml:space="preserve">Typy działań: </w:t>
      </w:r>
    </w:p>
    <w:p w14:paraId="52DFDEA9" w14:textId="77777777" w:rsidR="005F049F" w:rsidRPr="008B6880" w:rsidRDefault="005F049F" w:rsidP="005F049F">
      <w:pPr>
        <w:pStyle w:val="Akapitzlist"/>
        <w:numPr>
          <w:ilvl w:val="0"/>
          <w:numId w:val="27"/>
        </w:numPr>
        <w:rPr>
          <w:color w:val="auto"/>
        </w:rPr>
      </w:pPr>
      <w:r w:rsidRPr="008B6880">
        <w:rPr>
          <w:color w:val="auto"/>
        </w:rPr>
        <w:t xml:space="preserve">ochrona lub zwiększanie retencji </w:t>
      </w:r>
      <w:proofErr w:type="spellStart"/>
      <w:r w:rsidRPr="008B6880">
        <w:rPr>
          <w:color w:val="auto"/>
        </w:rPr>
        <w:t>zlewniowej</w:t>
      </w:r>
      <w:proofErr w:type="spellEnd"/>
      <w:r w:rsidRPr="008B6880">
        <w:rPr>
          <w:color w:val="auto"/>
        </w:rPr>
        <w:t xml:space="preserve"> na gruntach leśnych, wodno-błotnych, zadrzewionych i zakrzewionych, na użytkach rolnych oraz na gruntach zabudowanych i zurbanizowanych; </w:t>
      </w:r>
    </w:p>
    <w:p w14:paraId="2C3C3CA9" w14:textId="77777777" w:rsidR="005F049F" w:rsidRPr="008B6880" w:rsidRDefault="005F049F" w:rsidP="005F049F">
      <w:pPr>
        <w:pStyle w:val="Akapitzlist"/>
        <w:numPr>
          <w:ilvl w:val="0"/>
          <w:numId w:val="27"/>
        </w:numPr>
        <w:rPr>
          <w:color w:val="auto"/>
        </w:rPr>
      </w:pPr>
      <w:r w:rsidRPr="008B6880">
        <w:rPr>
          <w:color w:val="auto"/>
        </w:rPr>
        <w:t>ochrona lub przywrócenie retencji dolin rzecznych;</w:t>
      </w:r>
    </w:p>
    <w:p w14:paraId="02634913" w14:textId="77777777" w:rsidR="005F049F" w:rsidRPr="008B6880" w:rsidRDefault="005F049F" w:rsidP="005F049F">
      <w:pPr>
        <w:pStyle w:val="Akapitzlist"/>
        <w:numPr>
          <w:ilvl w:val="0"/>
          <w:numId w:val="27"/>
        </w:numPr>
        <w:rPr>
          <w:color w:val="auto"/>
        </w:rPr>
      </w:pPr>
      <w:r w:rsidRPr="008B6880">
        <w:rPr>
          <w:color w:val="auto"/>
        </w:rPr>
        <w:t xml:space="preserve">zachowanie i rozbudowa (poprawa) funkcjonalności systemu zabezpieczenia obszarów depresyjnych; </w:t>
      </w:r>
    </w:p>
    <w:p w14:paraId="04AC78A3" w14:textId="48F7DD2D" w:rsidR="005F049F" w:rsidRPr="008B6880" w:rsidRDefault="005F049F" w:rsidP="005F049F">
      <w:pPr>
        <w:pStyle w:val="Akapitzlist"/>
        <w:numPr>
          <w:ilvl w:val="0"/>
          <w:numId w:val="27"/>
        </w:numPr>
        <w:rPr>
          <w:color w:val="auto"/>
        </w:rPr>
      </w:pPr>
      <w:r w:rsidRPr="008B6880">
        <w:rPr>
          <w:color w:val="auto"/>
        </w:rPr>
        <w:t xml:space="preserve">odbudowa zniszczonej przez powodzie infrastruktury przeciwpowodziowej. Projekty o charakterze regionalnym i lokalnych wynikające z potrzeb JST. </w:t>
      </w:r>
    </w:p>
    <w:p w14:paraId="4E525E48" w14:textId="51702529" w:rsidR="005F049F" w:rsidRPr="008B6880" w:rsidRDefault="005F049F" w:rsidP="005F049F">
      <w:pPr>
        <w:pStyle w:val="Akapitzlist"/>
        <w:numPr>
          <w:ilvl w:val="0"/>
          <w:numId w:val="27"/>
        </w:numPr>
        <w:rPr>
          <w:color w:val="auto"/>
        </w:rPr>
      </w:pPr>
      <w:r w:rsidRPr="008B6880">
        <w:rPr>
          <w:color w:val="auto"/>
        </w:rPr>
        <w:t>zwiększanie retencji na gruntach leśnych zadrzewionych i zakrzewionych, wodno-błotnych, na użytkach rolnych oraz na gruntach zabudowanych i</w:t>
      </w:r>
      <w:r w:rsidR="008B6880">
        <w:rPr>
          <w:color w:val="auto"/>
        </w:rPr>
        <w:t> </w:t>
      </w:r>
      <w:r w:rsidRPr="008B6880">
        <w:rPr>
          <w:color w:val="auto"/>
        </w:rPr>
        <w:t xml:space="preserve">zurbanizowanych; </w:t>
      </w:r>
    </w:p>
    <w:p w14:paraId="2D1D2F59" w14:textId="77777777" w:rsidR="005F049F" w:rsidRPr="008B6880" w:rsidRDefault="005F049F" w:rsidP="005F049F">
      <w:pPr>
        <w:pStyle w:val="Akapitzlist"/>
        <w:numPr>
          <w:ilvl w:val="0"/>
          <w:numId w:val="27"/>
        </w:numPr>
        <w:rPr>
          <w:color w:val="auto"/>
        </w:rPr>
      </w:pPr>
      <w:r w:rsidRPr="008B6880">
        <w:rPr>
          <w:color w:val="auto"/>
        </w:rPr>
        <w:t xml:space="preserve">zwiększenie retencji dolin rzecznych; </w:t>
      </w:r>
    </w:p>
    <w:p w14:paraId="5BDCC20A" w14:textId="77777777" w:rsidR="005F049F" w:rsidRPr="008B6880" w:rsidRDefault="005F049F" w:rsidP="005F049F">
      <w:pPr>
        <w:pStyle w:val="Akapitzlist"/>
        <w:numPr>
          <w:ilvl w:val="0"/>
          <w:numId w:val="27"/>
        </w:numPr>
        <w:rPr>
          <w:color w:val="auto"/>
        </w:rPr>
      </w:pPr>
      <w:r w:rsidRPr="008B6880">
        <w:rPr>
          <w:color w:val="auto"/>
        </w:rPr>
        <w:t xml:space="preserve">budowę mobilnych systemów ochrony przed powodzią; </w:t>
      </w:r>
    </w:p>
    <w:p w14:paraId="26E8724E" w14:textId="45AF9626" w:rsidR="005F049F" w:rsidRPr="008B6880" w:rsidRDefault="005F049F" w:rsidP="006F4D0D">
      <w:pPr>
        <w:pStyle w:val="Akapitzlist"/>
        <w:numPr>
          <w:ilvl w:val="0"/>
          <w:numId w:val="27"/>
        </w:numPr>
        <w:rPr>
          <w:color w:val="auto"/>
        </w:rPr>
      </w:pPr>
      <w:r w:rsidRPr="008B6880">
        <w:rPr>
          <w:color w:val="auto"/>
        </w:rPr>
        <w:t>budowę, przebudowę wałów przeciwpowodziowych wyłącznie w przypadku, gdy nie ma możliwości zastosowania innych rozwiązań.</w:t>
      </w:r>
    </w:p>
    <w:p w14:paraId="3C26F0EA" w14:textId="0CEE0202" w:rsidR="001F3F83" w:rsidRPr="008B6880" w:rsidRDefault="001F3F83" w:rsidP="008B6880">
      <w:pPr>
        <w:pStyle w:val="Akapitzlist"/>
        <w:numPr>
          <w:ilvl w:val="0"/>
          <w:numId w:val="28"/>
        </w:numPr>
        <w:ind w:left="284" w:right="0"/>
        <w:rPr>
          <w:color w:val="auto"/>
          <w:szCs w:val="24"/>
        </w:rPr>
      </w:pPr>
      <w:r w:rsidRPr="008B6880">
        <w:rPr>
          <w:color w:val="auto"/>
          <w:szCs w:val="24"/>
        </w:rPr>
        <w:t xml:space="preserve">W przypadku </w:t>
      </w:r>
      <w:r w:rsidRPr="008B6880">
        <w:rPr>
          <w:color w:val="auto"/>
        </w:rPr>
        <w:t>budowy, przebudowy (modernizacji) wałów przeciwpowodziowych dopuszcza się:</w:t>
      </w:r>
    </w:p>
    <w:p w14:paraId="2607D7E1" w14:textId="1F0BEF02" w:rsidR="001F3F83" w:rsidRPr="008B6880" w:rsidRDefault="001F3F83" w:rsidP="008B6880">
      <w:pPr>
        <w:pStyle w:val="Akapitzlist"/>
        <w:numPr>
          <w:ilvl w:val="0"/>
          <w:numId w:val="27"/>
        </w:numPr>
        <w:rPr>
          <w:color w:val="auto"/>
          <w:szCs w:val="24"/>
        </w:rPr>
      </w:pPr>
      <w:r w:rsidRPr="008B6880">
        <w:rPr>
          <w:szCs w:val="24"/>
        </w:rPr>
        <w:t xml:space="preserve">usunięcie istniejącej roślinności, w tym drzew i krzewów kolidujących </w:t>
      </w:r>
      <w:r w:rsidRPr="008B6880">
        <w:rPr>
          <w:szCs w:val="24"/>
        </w:rPr>
        <w:br/>
        <w:t>budową/przebudową wału;</w:t>
      </w:r>
    </w:p>
    <w:p w14:paraId="1BA6793A" w14:textId="5E7C999A" w:rsidR="001F3F83" w:rsidRPr="008B6880" w:rsidRDefault="001F3F83" w:rsidP="008B6880">
      <w:pPr>
        <w:pStyle w:val="Akapitzlist"/>
        <w:numPr>
          <w:ilvl w:val="0"/>
          <w:numId w:val="27"/>
        </w:numPr>
        <w:spacing w:after="0" w:line="240" w:lineRule="auto"/>
        <w:ind w:right="0"/>
        <w:rPr>
          <w:szCs w:val="24"/>
        </w:rPr>
      </w:pPr>
      <w:r w:rsidRPr="008B6880">
        <w:rPr>
          <w:szCs w:val="24"/>
        </w:rPr>
        <w:t>usunięcie części wału o niewystarczającej nośności lub złym stanie technicznym;</w:t>
      </w:r>
    </w:p>
    <w:p w14:paraId="5C85671B" w14:textId="1C493824" w:rsidR="001F3F83" w:rsidRPr="008B6880" w:rsidRDefault="0079241E" w:rsidP="008B6880">
      <w:pPr>
        <w:pStyle w:val="Akapitzlist"/>
        <w:numPr>
          <w:ilvl w:val="0"/>
          <w:numId w:val="27"/>
        </w:numPr>
        <w:spacing w:after="0" w:line="240" w:lineRule="auto"/>
        <w:ind w:right="0"/>
        <w:rPr>
          <w:szCs w:val="24"/>
        </w:rPr>
      </w:pPr>
      <w:r w:rsidRPr="008B6880">
        <w:rPr>
          <w:szCs w:val="24"/>
        </w:rPr>
        <w:lastRenderedPageBreak/>
        <w:t>utworzenie równomiernej, zabezpieczonej powierzchni górnej wału. N</w:t>
      </w:r>
      <w:r w:rsidR="001F3F83" w:rsidRPr="008B6880">
        <w:rPr>
          <w:szCs w:val="24"/>
        </w:rPr>
        <w:t>asypanie nowego materiału (np. gliny, żwiru) w celu uzyskania wymaganej wysokości i</w:t>
      </w:r>
      <w:r w:rsidR="008B6880">
        <w:rPr>
          <w:szCs w:val="24"/>
        </w:rPr>
        <w:t> </w:t>
      </w:r>
      <w:r w:rsidR="001F3F83" w:rsidRPr="008B6880">
        <w:rPr>
          <w:szCs w:val="24"/>
        </w:rPr>
        <w:t>szerokości korpusu wału;</w:t>
      </w:r>
    </w:p>
    <w:p w14:paraId="3F3B4F02" w14:textId="2E307134" w:rsidR="00957B11" w:rsidRPr="008B6880" w:rsidRDefault="00957B11" w:rsidP="008B6880">
      <w:pPr>
        <w:pStyle w:val="Akapitzlist"/>
        <w:numPr>
          <w:ilvl w:val="0"/>
          <w:numId w:val="27"/>
        </w:numPr>
        <w:spacing w:after="0" w:line="240" w:lineRule="auto"/>
        <w:ind w:right="0"/>
        <w:rPr>
          <w:szCs w:val="24"/>
        </w:rPr>
      </w:pPr>
      <w:r w:rsidRPr="008B6880">
        <w:rPr>
          <w:szCs w:val="24"/>
        </w:rPr>
        <w:t xml:space="preserve">uzupełnienie konstrukcji warstwą nowego materiału np.  tłucznia i </w:t>
      </w:r>
      <w:proofErr w:type="spellStart"/>
      <w:r w:rsidRPr="008B6880">
        <w:rPr>
          <w:szCs w:val="24"/>
        </w:rPr>
        <w:t>klinca</w:t>
      </w:r>
      <w:proofErr w:type="spellEnd"/>
      <w:r w:rsidRPr="008B6880">
        <w:rPr>
          <w:szCs w:val="24"/>
        </w:rPr>
        <w:t xml:space="preserve"> o</w:t>
      </w:r>
      <w:r w:rsidR="008B6880">
        <w:rPr>
          <w:szCs w:val="24"/>
        </w:rPr>
        <w:t> </w:t>
      </w:r>
      <w:r w:rsidRPr="008B6880">
        <w:rPr>
          <w:szCs w:val="24"/>
        </w:rPr>
        <w:t>różnym przekroju uziarnieniu zagęszczonego;</w:t>
      </w:r>
    </w:p>
    <w:p w14:paraId="1561CBB7" w14:textId="5881A416" w:rsidR="00957B11" w:rsidRPr="008B6880" w:rsidRDefault="00957B11" w:rsidP="008B6880">
      <w:pPr>
        <w:pStyle w:val="Akapitzlist"/>
        <w:numPr>
          <w:ilvl w:val="0"/>
          <w:numId w:val="27"/>
        </w:numPr>
        <w:spacing w:after="0" w:line="240" w:lineRule="auto"/>
        <w:ind w:right="0"/>
        <w:rPr>
          <w:szCs w:val="24"/>
        </w:rPr>
      </w:pPr>
      <w:r w:rsidRPr="008B6880">
        <w:rPr>
          <w:szCs w:val="24"/>
        </w:rPr>
        <w:t>usuwanie uszkodzeń i zniszczeń wywołanych przez zwierzęta ryjące w</w:t>
      </w:r>
      <w:r w:rsidR="008B6880">
        <w:rPr>
          <w:szCs w:val="24"/>
        </w:rPr>
        <w:t> </w:t>
      </w:r>
      <w:r w:rsidRPr="008B6880">
        <w:rPr>
          <w:szCs w:val="24"/>
        </w:rPr>
        <w:t>ścianach wału;</w:t>
      </w:r>
    </w:p>
    <w:p w14:paraId="7202891F" w14:textId="046AC739" w:rsidR="00957B11" w:rsidRPr="008B6880" w:rsidRDefault="0079241E" w:rsidP="008B6880">
      <w:pPr>
        <w:pStyle w:val="Akapitzlist"/>
        <w:numPr>
          <w:ilvl w:val="0"/>
          <w:numId w:val="27"/>
        </w:numPr>
        <w:spacing w:after="0" w:line="240" w:lineRule="auto"/>
        <w:ind w:right="0"/>
        <w:rPr>
          <w:szCs w:val="24"/>
        </w:rPr>
      </w:pPr>
      <w:r w:rsidRPr="008B6880">
        <w:rPr>
          <w:szCs w:val="24"/>
        </w:rPr>
        <w:t>uszczelnienie przejść wałowych i poprawa ich funkcjonalności. Z</w:t>
      </w:r>
      <w:r w:rsidR="00957B11" w:rsidRPr="008B6880">
        <w:rPr>
          <w:szCs w:val="24"/>
        </w:rPr>
        <w:t xml:space="preserve">astosowanie materiałów uszczelniające wały w celu uzupełnienia materiału wyniesionego przez zwierzęta w trakcie budowy </w:t>
      </w:r>
      <w:proofErr w:type="spellStart"/>
      <w:r w:rsidR="00957B11" w:rsidRPr="008B6880">
        <w:rPr>
          <w:szCs w:val="24"/>
        </w:rPr>
        <w:t>nór</w:t>
      </w:r>
      <w:proofErr w:type="spellEnd"/>
      <w:r w:rsidR="00957B11" w:rsidRPr="008B6880">
        <w:rPr>
          <w:szCs w:val="24"/>
        </w:rPr>
        <w:t xml:space="preserve"> (np. jenoty, lisy, bobry);</w:t>
      </w:r>
    </w:p>
    <w:p w14:paraId="04D16A21" w14:textId="4A68F5BE" w:rsidR="001F3F83" w:rsidRPr="008B6880" w:rsidRDefault="001F3F83" w:rsidP="008B6880">
      <w:pPr>
        <w:pStyle w:val="Akapitzlist"/>
        <w:numPr>
          <w:ilvl w:val="0"/>
          <w:numId w:val="27"/>
        </w:numPr>
        <w:spacing w:after="0" w:line="240" w:lineRule="auto"/>
        <w:ind w:right="0"/>
        <w:rPr>
          <w:szCs w:val="24"/>
        </w:rPr>
      </w:pPr>
      <w:r w:rsidRPr="008B6880">
        <w:rPr>
          <w:szCs w:val="24"/>
        </w:rPr>
        <w:t>zwiększenie objętości podstawy wału dla zapewnienia stabilności wału;</w:t>
      </w:r>
    </w:p>
    <w:p w14:paraId="513594C9" w14:textId="572C9570" w:rsidR="00957B11" w:rsidRPr="008B6880" w:rsidRDefault="001F3F83" w:rsidP="008B6880">
      <w:pPr>
        <w:pStyle w:val="Akapitzlist"/>
        <w:numPr>
          <w:ilvl w:val="0"/>
          <w:numId w:val="27"/>
        </w:numPr>
        <w:spacing w:after="0" w:line="240" w:lineRule="auto"/>
        <w:ind w:right="0"/>
        <w:rPr>
          <w:szCs w:val="24"/>
        </w:rPr>
      </w:pPr>
      <w:r w:rsidRPr="008B6880">
        <w:rPr>
          <w:szCs w:val="24"/>
        </w:rPr>
        <w:t>warstwowe ubijanie gruntu dla poprawy nośności</w:t>
      </w:r>
      <w:r w:rsidR="00957B11" w:rsidRPr="008B6880">
        <w:rPr>
          <w:szCs w:val="24"/>
        </w:rPr>
        <w:t xml:space="preserve"> wału;</w:t>
      </w:r>
    </w:p>
    <w:p w14:paraId="0616100A" w14:textId="77777777" w:rsidR="001F3F83" w:rsidRPr="008B6880" w:rsidRDefault="001F3F83" w:rsidP="008B6880">
      <w:pPr>
        <w:pStyle w:val="Akapitzlist"/>
        <w:numPr>
          <w:ilvl w:val="0"/>
          <w:numId w:val="27"/>
        </w:numPr>
        <w:spacing w:after="0" w:line="240" w:lineRule="auto"/>
        <w:ind w:right="0"/>
        <w:rPr>
          <w:szCs w:val="24"/>
        </w:rPr>
      </w:pPr>
      <w:r w:rsidRPr="008B6880">
        <w:rPr>
          <w:szCs w:val="24"/>
        </w:rPr>
        <w:t xml:space="preserve">zastosowanie geowłóknin w celu zabezpieczenia przed osunięciami </w:t>
      </w:r>
    </w:p>
    <w:p w14:paraId="177203DC" w14:textId="50A02BB4" w:rsidR="001F3F83" w:rsidRPr="008B6880" w:rsidRDefault="001F3F83" w:rsidP="008B6880">
      <w:pPr>
        <w:pStyle w:val="Akapitzlist"/>
        <w:rPr>
          <w:szCs w:val="24"/>
        </w:rPr>
      </w:pPr>
      <w:r w:rsidRPr="008B6880">
        <w:rPr>
          <w:szCs w:val="24"/>
        </w:rPr>
        <w:t>i infiltracją wody;</w:t>
      </w:r>
    </w:p>
    <w:p w14:paraId="62421181" w14:textId="2F0FC587" w:rsidR="001F3F83" w:rsidRPr="008B6880" w:rsidRDefault="001F3F83" w:rsidP="008B6880">
      <w:pPr>
        <w:pStyle w:val="Akapitzlist"/>
        <w:numPr>
          <w:ilvl w:val="0"/>
          <w:numId w:val="27"/>
        </w:numPr>
        <w:spacing w:after="0" w:line="240" w:lineRule="auto"/>
        <w:ind w:right="0"/>
        <w:rPr>
          <w:szCs w:val="24"/>
        </w:rPr>
      </w:pPr>
      <w:r w:rsidRPr="008B6880">
        <w:rPr>
          <w:szCs w:val="24"/>
        </w:rPr>
        <w:t>odtworzenie darni na korpusie wału.</w:t>
      </w:r>
    </w:p>
    <w:p w14:paraId="28E1D994" w14:textId="76FC0E57" w:rsidR="005F049F" w:rsidRPr="008B6880" w:rsidRDefault="005E7DF5" w:rsidP="008B6880">
      <w:pPr>
        <w:pStyle w:val="Akapitzlist"/>
        <w:numPr>
          <w:ilvl w:val="0"/>
          <w:numId w:val="28"/>
        </w:numPr>
        <w:ind w:left="284" w:right="0"/>
        <w:rPr>
          <w:color w:val="auto"/>
          <w:szCs w:val="24"/>
        </w:rPr>
      </w:pPr>
      <w:r w:rsidRPr="008B6880">
        <w:rPr>
          <w:color w:val="auto"/>
          <w:szCs w:val="24"/>
        </w:rPr>
        <w:t>wydatki na działania informacyjne i informacyjno</w:t>
      </w:r>
      <w:r w:rsidR="00552BBA" w:rsidRPr="008B6880">
        <w:rPr>
          <w:color w:val="auto"/>
          <w:szCs w:val="24"/>
        </w:rPr>
        <w:t>-</w:t>
      </w:r>
      <w:r w:rsidRPr="008B6880">
        <w:rPr>
          <w:color w:val="auto"/>
          <w:szCs w:val="24"/>
        </w:rPr>
        <w:t>promocyjne, bezpośrednio związane z realizacją projektu maksymalnie 30 tys. PLN wydatków kwalifikowalnych projektu (przykładowe działania: spotkania z lokalną społecznością, materiały w</w:t>
      </w:r>
      <w:r w:rsidR="008B6880">
        <w:rPr>
          <w:color w:val="auto"/>
          <w:szCs w:val="24"/>
        </w:rPr>
        <w:t> </w:t>
      </w:r>
      <w:r w:rsidRPr="008B6880">
        <w:rPr>
          <w:color w:val="auto"/>
          <w:szCs w:val="24"/>
        </w:rPr>
        <w:t xml:space="preserve">wersji elektronicznej, strona internetowa, w tym materiały do pobrania oraz publikacje on-line itd., artykuł w prasie lokalnej lub/i audycja w lokalnym radiu </w:t>
      </w:r>
      <w:r w:rsidR="008B6880">
        <w:rPr>
          <w:color w:val="auto"/>
          <w:szCs w:val="24"/>
        </w:rPr>
        <w:t>i/</w:t>
      </w:r>
      <w:r w:rsidRPr="008B6880">
        <w:rPr>
          <w:color w:val="auto"/>
          <w:szCs w:val="24"/>
        </w:rPr>
        <w:t>lub</w:t>
      </w:r>
      <w:r w:rsidR="008B6880">
        <w:rPr>
          <w:color w:val="auto"/>
          <w:szCs w:val="24"/>
        </w:rPr>
        <w:t> </w:t>
      </w:r>
      <w:r w:rsidRPr="008B6880">
        <w:rPr>
          <w:color w:val="auto"/>
          <w:szCs w:val="24"/>
        </w:rPr>
        <w:t>reklama w lokalnej telewizji, kampanie w szkołach, przedszkolach, tablice informacyjne, plakaty, naklejki itp</w:t>
      </w:r>
      <w:r w:rsidR="005F049F" w:rsidRPr="008B6880">
        <w:rPr>
          <w:color w:val="auto"/>
          <w:szCs w:val="24"/>
        </w:rPr>
        <w:t>.);</w:t>
      </w:r>
    </w:p>
    <w:p w14:paraId="2E5AF0FB" w14:textId="5A4EE351" w:rsidR="0048227F" w:rsidRPr="008B6880" w:rsidRDefault="007C524E" w:rsidP="0048227F">
      <w:pPr>
        <w:pStyle w:val="Akapitzlist"/>
        <w:numPr>
          <w:ilvl w:val="0"/>
          <w:numId w:val="28"/>
        </w:numPr>
        <w:ind w:left="284" w:right="0"/>
        <w:rPr>
          <w:color w:val="auto"/>
          <w:szCs w:val="24"/>
        </w:rPr>
      </w:pPr>
      <w:r w:rsidRPr="008B6880">
        <w:rPr>
          <w:color w:val="auto"/>
          <w:szCs w:val="24"/>
        </w:rPr>
        <w:t>w</w:t>
      </w:r>
      <w:r w:rsidR="005F049F" w:rsidRPr="008B6880">
        <w:rPr>
          <w:color w:val="auto"/>
          <w:szCs w:val="24"/>
        </w:rPr>
        <w:t>ydatki na działania informacyjno-edukacyjne w zakresie wiedzy o zmianach klimatu i ochrony zasobów wodnych</w:t>
      </w:r>
      <w:r w:rsidR="00914C83" w:rsidRPr="008B6880">
        <w:rPr>
          <w:color w:val="auto"/>
          <w:szCs w:val="24"/>
        </w:rPr>
        <w:t xml:space="preserve"> </w:t>
      </w:r>
      <w:r w:rsidR="005F049F" w:rsidRPr="008B6880">
        <w:rPr>
          <w:color w:val="auto"/>
          <w:szCs w:val="24"/>
        </w:rPr>
        <w:t xml:space="preserve">(spotkania z lokalną społecznością, materiały w wersji elektronicznej, strona internetowa, w tym materiały do pobrania oraz publikacje on-line itd., artykuł w prasie lokalnej lub/i audycja w lokalnym radiu </w:t>
      </w:r>
      <w:r w:rsidR="008B6880">
        <w:rPr>
          <w:color w:val="auto"/>
          <w:szCs w:val="24"/>
        </w:rPr>
        <w:t>i/</w:t>
      </w:r>
      <w:r w:rsidR="005F049F" w:rsidRPr="008B6880">
        <w:rPr>
          <w:color w:val="auto"/>
          <w:szCs w:val="24"/>
        </w:rPr>
        <w:t>lub</w:t>
      </w:r>
      <w:r w:rsidR="008B6880">
        <w:rPr>
          <w:color w:val="auto"/>
          <w:szCs w:val="24"/>
        </w:rPr>
        <w:t> </w:t>
      </w:r>
      <w:r w:rsidR="005F049F" w:rsidRPr="008B6880">
        <w:rPr>
          <w:color w:val="auto"/>
          <w:szCs w:val="24"/>
        </w:rPr>
        <w:t>reklama w lokalnej telewizji, kampanie w szkołach, przedszkolach);</w:t>
      </w:r>
    </w:p>
    <w:p w14:paraId="0424279B" w14:textId="1EAB57FB" w:rsidR="0048227F" w:rsidRPr="008B6880" w:rsidRDefault="0048227F" w:rsidP="0048227F">
      <w:pPr>
        <w:pStyle w:val="Akapitzlist"/>
        <w:numPr>
          <w:ilvl w:val="0"/>
          <w:numId w:val="28"/>
        </w:numPr>
        <w:ind w:left="284" w:right="0"/>
        <w:rPr>
          <w:color w:val="auto"/>
          <w:szCs w:val="24"/>
        </w:rPr>
      </w:pPr>
      <w:r w:rsidRPr="008B6880">
        <w:rPr>
          <w:color w:val="auto"/>
          <w:szCs w:val="24"/>
        </w:rPr>
        <w:t>prace przygotowawcze w zakresie wskazanym w umowie o dofinansowanie projektu przez IZ FEWL 21-27 oraz w umowie o dofinansowanie projektu realizowanego w trybie „zaprojektuj i wybuduj” tj.: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w:t>
      </w:r>
    </w:p>
    <w:p w14:paraId="7A10266B" w14:textId="77777777" w:rsidR="0048227F" w:rsidRPr="008B6880" w:rsidRDefault="0048227F" w:rsidP="0048227F">
      <w:pPr>
        <w:pStyle w:val="Akapitzlist"/>
        <w:numPr>
          <w:ilvl w:val="0"/>
          <w:numId w:val="28"/>
        </w:numPr>
        <w:ind w:left="284" w:right="0"/>
        <w:rPr>
          <w:color w:val="auto"/>
          <w:szCs w:val="24"/>
        </w:rPr>
      </w:pPr>
      <w:r w:rsidRPr="008B6880">
        <w:rPr>
          <w:color w:val="auto"/>
          <w:szCs w:val="24"/>
        </w:rPr>
        <w:t xml:space="preserve">zgodnie z Podrozdziałem 3.5. Podatek od towarów i usług (VAT) Wytycznych dotyczących kwalifikowalności wydatków na lata 2021-2027 Ministra Funduszy </w:t>
      </w:r>
      <w:r w:rsidRPr="008B6880">
        <w:rPr>
          <w:color w:val="auto"/>
          <w:szCs w:val="24"/>
        </w:rPr>
        <w:lastRenderedPageBreak/>
        <w:t>i Polityki Regionalnej, wydatki poniesione na podatek od towarów i usług mogą zostać uznane za kwalifikowalne:</w:t>
      </w:r>
    </w:p>
    <w:p w14:paraId="589ED127" w14:textId="77777777" w:rsidR="0048227F" w:rsidRPr="008B6880" w:rsidRDefault="0048227F" w:rsidP="0048227F">
      <w:pPr>
        <w:pStyle w:val="Akapitzlist"/>
        <w:numPr>
          <w:ilvl w:val="0"/>
          <w:numId w:val="13"/>
        </w:numPr>
        <w:ind w:left="567" w:hanging="218"/>
        <w:rPr>
          <w:color w:val="auto"/>
          <w:szCs w:val="24"/>
        </w:rPr>
      </w:pPr>
      <w:bookmarkStart w:id="0" w:name="_Hlk216164457"/>
      <w:r w:rsidRPr="008B6880">
        <w:rPr>
          <w:color w:val="auto"/>
          <w:szCs w:val="24"/>
        </w:rPr>
        <w:t>w projekcie, którego łączny koszt</w:t>
      </w:r>
      <w:r w:rsidRPr="008B6880">
        <w:rPr>
          <w:color w:val="auto"/>
          <w:szCs w:val="24"/>
          <w:vertAlign w:val="superscript"/>
        </w:rPr>
        <w:footnoteReference w:id="1"/>
      </w:r>
      <w:r w:rsidRPr="008B6880">
        <w:rPr>
          <w:color w:val="auto"/>
          <w:szCs w:val="24"/>
        </w:rPr>
        <w:t xml:space="preserve"> jest mniejszy niż 5 mln EUR (włączając VAT), z wyłączeniem projektów objętych pomocą publiczną;</w:t>
      </w:r>
    </w:p>
    <w:p w14:paraId="16A4B6E9" w14:textId="5E50D48B" w:rsidR="0048227F" w:rsidRPr="008B6880" w:rsidRDefault="0048227F" w:rsidP="0048227F">
      <w:pPr>
        <w:pStyle w:val="Akapitzlist"/>
        <w:numPr>
          <w:ilvl w:val="0"/>
          <w:numId w:val="13"/>
        </w:numPr>
        <w:ind w:left="567" w:hanging="218"/>
        <w:rPr>
          <w:color w:val="auto"/>
          <w:szCs w:val="24"/>
        </w:rPr>
      </w:pPr>
      <w:r w:rsidRPr="008B6880">
        <w:rPr>
          <w:color w:val="auto"/>
          <w:szCs w:val="24"/>
        </w:rPr>
        <w:t xml:space="preserve">w ramach projektu, którego łączny koszt wynosi co najmniej 5 mln EUR (włączając VAT), biorąc pod uwagę, iż prawo do obniżenia podatku VAT należnego o podatek VAT naliczony może powstać zarówno w okresie realizacji projektu, jak i po jego zakończeniu, IZ będąca stroną umowy </w:t>
      </w:r>
      <w:r w:rsidR="008B6880" w:rsidRPr="008B6880">
        <w:rPr>
          <w:color w:val="auto"/>
          <w:szCs w:val="24"/>
        </w:rPr>
        <w:t>wymaga</w:t>
      </w:r>
      <w:r w:rsidRPr="008B6880">
        <w:rPr>
          <w:color w:val="auto"/>
          <w:szCs w:val="24"/>
        </w:rPr>
        <w:t>, aby beneficjenci, którzy zaliczą podatek VAT do wydatków kwalifikowalnych, dołączy</w:t>
      </w:r>
      <w:r w:rsidR="008B6880" w:rsidRPr="008B6880">
        <w:rPr>
          <w:color w:val="auto"/>
          <w:szCs w:val="24"/>
        </w:rPr>
        <w:t>li</w:t>
      </w:r>
      <w:r w:rsidRPr="008B6880">
        <w:rPr>
          <w:color w:val="auto"/>
          <w:szCs w:val="24"/>
        </w:rPr>
        <w:t xml:space="preserve"> do wniosku o dofinansowanie projektu „Oświadczenie o kwalifikowalności VAT”. Oświadczenie składa się z dwóch integralnych części. W ramach pierwszej części beneficjent oświadcza, iż w chwili składania wniosku o dofinansowanie projektu nie ma prawnej możliwości odzyskania podatku VAT, którego wysokość została określona w odpowiednim punkcie wniosku o dofinansowanie projektu (fakt ten decyduje o kwalifikowalności </w:t>
      </w:r>
      <w:r w:rsidRPr="008B6880">
        <w:rPr>
          <w:rFonts w:ascii="ArialMT" w:eastAsiaTheme="minorEastAsia" w:hAnsi="ArialMT" w:cs="ArialMT"/>
          <w:color w:val="auto"/>
          <w:kern w:val="0"/>
          <w:szCs w:val="24"/>
        </w:rPr>
        <w:t>VAT). Natomiast w części drugiej beneficjent zobowiązuje się do zwrotu zrefundowanej ze środków unijnych części VAT, jeżeli zaistnieją przesłanki umożliwiające odzyskanie tego podatku. „Oświadczenie o kwalifikowalności VAT” podpisane przez beneficjenta stanowi załącznik do zawieranej z beneficjentem umowy o dofinansowanie projektu.</w:t>
      </w:r>
      <w:bookmarkEnd w:id="0"/>
    </w:p>
    <w:p w14:paraId="5992E302" w14:textId="46652E9A" w:rsidR="009C4B4C" w:rsidRPr="008B6880" w:rsidRDefault="00B64718" w:rsidP="0048227F">
      <w:pPr>
        <w:pStyle w:val="Nagwek1"/>
        <w:spacing w:before="240"/>
        <w:ind w:left="177" w:hanging="192"/>
        <w:rPr>
          <w:color w:val="auto"/>
          <w:sz w:val="24"/>
          <w:szCs w:val="24"/>
        </w:rPr>
      </w:pPr>
      <w:r w:rsidRPr="008B6880">
        <w:rPr>
          <w:color w:val="auto"/>
          <w:sz w:val="24"/>
          <w:szCs w:val="24"/>
        </w:rPr>
        <w:t>Przykładowe w</w:t>
      </w:r>
      <w:r w:rsidR="009C4B4C" w:rsidRPr="008B6880">
        <w:rPr>
          <w:color w:val="auto"/>
          <w:sz w:val="24"/>
          <w:szCs w:val="24"/>
        </w:rPr>
        <w:t xml:space="preserve">ydatki kwalifikowalne </w:t>
      </w:r>
    </w:p>
    <w:p w14:paraId="70BC74E1" w14:textId="77777777" w:rsidR="0073751D" w:rsidRPr="008B6880" w:rsidRDefault="0073751D">
      <w:pPr>
        <w:ind w:left="-5" w:right="0"/>
        <w:rPr>
          <w:b/>
          <w:color w:val="auto"/>
          <w:szCs w:val="24"/>
          <w:u w:val="single" w:color="000000"/>
        </w:rPr>
      </w:pPr>
    </w:p>
    <w:p w14:paraId="2C2A68DC" w14:textId="5C63DB99" w:rsidR="00B64718" w:rsidRPr="008B6880" w:rsidRDefault="00B64718" w:rsidP="00B64718">
      <w:pPr>
        <w:rPr>
          <w:color w:val="auto"/>
          <w:szCs w:val="24"/>
          <w:u w:val="single"/>
        </w:rPr>
      </w:pPr>
      <w:r w:rsidRPr="008B6880">
        <w:rPr>
          <w:color w:val="auto"/>
          <w:szCs w:val="24"/>
          <w:u w:val="single"/>
        </w:rPr>
        <w:t>Typ IV: Wspieranie małej retencji (w tym zagospodarowanie wód opadowych i</w:t>
      </w:r>
      <w:r w:rsidR="008B6880">
        <w:rPr>
          <w:color w:val="auto"/>
          <w:szCs w:val="24"/>
          <w:u w:val="single"/>
        </w:rPr>
        <w:t> </w:t>
      </w:r>
      <w:r w:rsidRPr="008B6880">
        <w:rPr>
          <w:color w:val="auto"/>
          <w:szCs w:val="24"/>
          <w:u w:val="single"/>
        </w:rPr>
        <w:t>roztopowych oraz rozwój błękitno-zielonej infrastruktury) wsparcie projektów realizowanych przez podmioty inne niż podlegające/nadzorowane przez administrację centralną.</w:t>
      </w:r>
    </w:p>
    <w:p w14:paraId="720585D4" w14:textId="2B73E40C" w:rsidR="00B64718" w:rsidRPr="008B6880" w:rsidRDefault="00B64718" w:rsidP="001F3F83">
      <w:pPr>
        <w:spacing w:before="240"/>
        <w:rPr>
          <w:color w:val="auto"/>
          <w:szCs w:val="24"/>
        </w:rPr>
      </w:pPr>
      <w:r w:rsidRPr="008B6880">
        <w:rPr>
          <w:color w:val="auto"/>
          <w:szCs w:val="24"/>
        </w:rPr>
        <w:t>Jako element uzupełniający będzie możliwość realizacji elementów edukacji w</w:t>
      </w:r>
      <w:r w:rsidR="008B6880">
        <w:rPr>
          <w:color w:val="auto"/>
          <w:szCs w:val="24"/>
        </w:rPr>
        <w:t> </w:t>
      </w:r>
      <w:r w:rsidRPr="008B6880">
        <w:rPr>
          <w:color w:val="auto"/>
          <w:szCs w:val="24"/>
        </w:rPr>
        <w:t>obszarze zmian klimatycznych oraz ochrony zasobów wodnych.</w:t>
      </w:r>
    </w:p>
    <w:p w14:paraId="58EC01E9" w14:textId="77777777" w:rsidR="00B64718" w:rsidRPr="008B6880" w:rsidRDefault="00B64718" w:rsidP="001F3F83">
      <w:pPr>
        <w:spacing w:before="240"/>
        <w:rPr>
          <w:color w:val="auto"/>
          <w:szCs w:val="24"/>
        </w:rPr>
      </w:pPr>
      <w:r w:rsidRPr="008B6880">
        <w:rPr>
          <w:color w:val="auto"/>
          <w:szCs w:val="24"/>
        </w:rPr>
        <w:t>Do przykładowych wydatków kwalifikowalnych, mogą zostać zaliczone między innymi następujące interwencje:</w:t>
      </w:r>
    </w:p>
    <w:p w14:paraId="6103FBD9" w14:textId="26093C47" w:rsidR="007A7D3E" w:rsidRPr="008B6880" w:rsidRDefault="00B64718" w:rsidP="00BE6D3C">
      <w:pPr>
        <w:pStyle w:val="Akapitzlist"/>
        <w:numPr>
          <w:ilvl w:val="0"/>
          <w:numId w:val="36"/>
        </w:numPr>
        <w:ind w:left="284" w:hanging="283"/>
        <w:rPr>
          <w:color w:val="auto"/>
          <w:szCs w:val="24"/>
        </w:rPr>
      </w:pPr>
      <w:r w:rsidRPr="008B6880">
        <w:rPr>
          <w:color w:val="auto"/>
          <w:szCs w:val="24"/>
        </w:rPr>
        <w:t>systemy zapobiegające podtopieniom i zalaniom, ograniczające lub likwidujące skutki tych zdarzeń, poprzez zwiększenie odporności na ekstremalne zjawiska pogodowe. Opóźnienie odpływu wód opadowych oraz retencjonowanie wody w</w:t>
      </w:r>
      <w:r w:rsidR="008B6880">
        <w:rPr>
          <w:color w:val="auto"/>
          <w:szCs w:val="24"/>
        </w:rPr>
        <w:t> </w:t>
      </w:r>
      <w:r w:rsidRPr="008B6880">
        <w:rPr>
          <w:color w:val="auto"/>
          <w:szCs w:val="24"/>
        </w:rPr>
        <w:t xml:space="preserve">zlewniach lokalnych wraz z systemami jej dystrybucji na okres suszy. Wykorzystanie rozwoju błękitno-zielonej infrastruktury do zatrzymywania wody </w:t>
      </w:r>
      <w:r w:rsidRPr="008B6880">
        <w:rPr>
          <w:color w:val="auto"/>
          <w:szCs w:val="24"/>
        </w:rPr>
        <w:lastRenderedPageBreak/>
        <w:t>w</w:t>
      </w:r>
      <w:r w:rsidR="008B6880">
        <w:rPr>
          <w:color w:val="auto"/>
          <w:szCs w:val="24"/>
        </w:rPr>
        <w:t> </w:t>
      </w:r>
      <w:r w:rsidRPr="008B6880">
        <w:rPr>
          <w:color w:val="auto"/>
          <w:szCs w:val="24"/>
        </w:rPr>
        <w:t>miejscu upadku na terenach objętych realizacją projektu</w:t>
      </w:r>
      <w:r w:rsidR="007A7D3E" w:rsidRPr="008B6880">
        <w:rPr>
          <w:color w:val="auto"/>
          <w:szCs w:val="24"/>
        </w:rPr>
        <w:t xml:space="preserve">, </w:t>
      </w:r>
      <w:r w:rsidR="00BE6D3C" w:rsidRPr="008B6880">
        <w:rPr>
          <w:color w:val="auto"/>
          <w:szCs w:val="24"/>
        </w:rPr>
        <w:t xml:space="preserve">w tym </w:t>
      </w:r>
      <w:r w:rsidR="007A7D3E" w:rsidRPr="008B6880">
        <w:rPr>
          <w:color w:val="auto"/>
          <w:szCs w:val="24"/>
        </w:rPr>
        <w:t>rekultywacja zbiorników wód opadowych i roztopowych</w:t>
      </w:r>
      <w:r w:rsidRPr="008B6880">
        <w:rPr>
          <w:color w:val="auto"/>
          <w:szCs w:val="24"/>
        </w:rPr>
        <w:t>;</w:t>
      </w:r>
    </w:p>
    <w:p w14:paraId="62D73E79"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budowa, przebudowa lub odbudowa zbiorników małej retencji i zbiorników suchych (w tym cieki wodne, stawy, oczka, zbiorniki rolnicze, oraz zbiorniki małej retencji o funkcji przeciwpowodziowej do 5 mln m³);</w:t>
      </w:r>
    </w:p>
    <w:p w14:paraId="768483E4"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 xml:space="preserve">budowa, przebudowa lub odbudowa małych urządzeń piętrzących na kanałach i rowach w celu spowolnienia odpływu wód powierzchniowych, przywracania funkcji obszarów </w:t>
      </w:r>
      <w:proofErr w:type="spellStart"/>
      <w:r w:rsidRPr="008B6880">
        <w:rPr>
          <w:color w:val="auto"/>
          <w:szCs w:val="24"/>
        </w:rPr>
        <w:t>mokradłowych</w:t>
      </w:r>
      <w:proofErr w:type="spellEnd"/>
      <w:r w:rsidRPr="008B6880">
        <w:rPr>
          <w:color w:val="auto"/>
          <w:szCs w:val="24"/>
        </w:rPr>
        <w:t xml:space="preserve"> i ich ochrony oraz odtwarzanie terenów zalewowych;</w:t>
      </w:r>
    </w:p>
    <w:p w14:paraId="54C4BD29"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zakup urządzeń podczyszczających wody opadowe i roztopowe;</w:t>
      </w:r>
    </w:p>
    <w:p w14:paraId="520D426B" w14:textId="13B1E396" w:rsidR="00ED3C52" w:rsidRPr="008B6880" w:rsidRDefault="00ED3C52" w:rsidP="00B64718">
      <w:pPr>
        <w:pStyle w:val="Akapitzlist"/>
        <w:numPr>
          <w:ilvl w:val="0"/>
          <w:numId w:val="36"/>
        </w:numPr>
        <w:ind w:left="284" w:hanging="283"/>
        <w:rPr>
          <w:color w:val="auto"/>
          <w:szCs w:val="24"/>
        </w:rPr>
      </w:pPr>
      <w:r w:rsidRPr="008B6880">
        <w:rPr>
          <w:szCs w:val="24"/>
        </w:rPr>
        <w:t>wykonanie prac utrzymaniowych  zbiornika, które mają za zadanie cofnięcie procesów eutrofizacji oraz „starzenia się” zbiornika;</w:t>
      </w:r>
    </w:p>
    <w:p w14:paraId="207A8A99" w14:textId="79989382" w:rsidR="00FA528C" w:rsidRPr="008B6880" w:rsidRDefault="00B64718" w:rsidP="00B64718">
      <w:pPr>
        <w:pStyle w:val="Akapitzlist"/>
        <w:numPr>
          <w:ilvl w:val="0"/>
          <w:numId w:val="36"/>
        </w:numPr>
        <w:ind w:left="284" w:hanging="283"/>
        <w:rPr>
          <w:color w:val="auto"/>
          <w:szCs w:val="24"/>
        </w:rPr>
      </w:pPr>
      <w:r w:rsidRPr="008B6880">
        <w:rPr>
          <w:color w:val="auto"/>
          <w:szCs w:val="24"/>
        </w:rPr>
        <w:t>czyszczenie zbiorników retencyjnych</w:t>
      </w:r>
      <w:r w:rsidR="00FA528C" w:rsidRPr="008B6880">
        <w:rPr>
          <w:color w:val="auto"/>
          <w:szCs w:val="24"/>
        </w:rPr>
        <w:t xml:space="preserve"> (w tym stawów)</w:t>
      </w:r>
      <w:r w:rsidRPr="008B6880">
        <w:rPr>
          <w:color w:val="auto"/>
          <w:szCs w:val="24"/>
        </w:rPr>
        <w:t xml:space="preserve"> z nagromadzonego namułu tzw. odmulenie</w:t>
      </w:r>
      <w:r w:rsidR="00FA528C" w:rsidRPr="008B6880">
        <w:rPr>
          <w:rFonts w:eastAsiaTheme="minorEastAsia"/>
          <w:kern w:val="0"/>
          <w:sz w:val="23"/>
          <w:szCs w:val="23"/>
        </w:rPr>
        <w:t xml:space="preserve"> </w:t>
      </w:r>
      <w:r w:rsidR="00FA528C" w:rsidRPr="008B6880">
        <w:rPr>
          <w:color w:val="auto"/>
          <w:szCs w:val="24"/>
        </w:rPr>
        <w:t>wywóz urobku, oskarpowanie zbiorników;</w:t>
      </w:r>
    </w:p>
    <w:p w14:paraId="121CB1CD" w14:textId="601B437F" w:rsidR="00ED3C52" w:rsidRPr="008B6880" w:rsidRDefault="00ED3C52" w:rsidP="00B64718">
      <w:pPr>
        <w:pStyle w:val="Akapitzlist"/>
        <w:numPr>
          <w:ilvl w:val="0"/>
          <w:numId w:val="36"/>
        </w:numPr>
        <w:ind w:left="284" w:hanging="283"/>
        <w:rPr>
          <w:color w:val="auto"/>
          <w:szCs w:val="24"/>
        </w:rPr>
      </w:pPr>
      <w:r w:rsidRPr="008B6880">
        <w:rPr>
          <w:color w:val="auto"/>
          <w:szCs w:val="24"/>
        </w:rPr>
        <w:t>nasadzenia roślinności, drzew, krzewów przy zbiorniku retencyjnym (w tym staw);</w:t>
      </w:r>
    </w:p>
    <w:p w14:paraId="4F734F99" w14:textId="5B4C1DB6" w:rsidR="00FA528C" w:rsidRPr="008B6880" w:rsidRDefault="00FA528C" w:rsidP="00B64718">
      <w:pPr>
        <w:pStyle w:val="Akapitzlist"/>
        <w:numPr>
          <w:ilvl w:val="0"/>
          <w:numId w:val="36"/>
        </w:numPr>
        <w:ind w:left="284" w:hanging="283"/>
        <w:rPr>
          <w:color w:val="auto"/>
          <w:szCs w:val="24"/>
        </w:rPr>
      </w:pPr>
      <w:r w:rsidRPr="008B6880">
        <w:rPr>
          <w:color w:val="auto"/>
          <w:szCs w:val="24"/>
        </w:rPr>
        <w:t>wycięcie krzewów, przycięcie drzew przy zbiorniku retencyjnym (w tym staw);</w:t>
      </w:r>
    </w:p>
    <w:p w14:paraId="1A99A723" w14:textId="03E23372" w:rsidR="00B64718" w:rsidRPr="008B6880" w:rsidRDefault="00FA528C" w:rsidP="00B64718">
      <w:pPr>
        <w:pStyle w:val="Akapitzlist"/>
        <w:numPr>
          <w:ilvl w:val="0"/>
          <w:numId w:val="36"/>
        </w:numPr>
        <w:ind w:left="284" w:hanging="283"/>
        <w:rPr>
          <w:color w:val="auto"/>
          <w:szCs w:val="24"/>
        </w:rPr>
      </w:pPr>
      <w:r w:rsidRPr="008B6880">
        <w:rPr>
          <w:color w:val="auto"/>
          <w:szCs w:val="24"/>
        </w:rPr>
        <w:t>wykonanie systemu cyrkulacji wody w zbiorniku retencyjnym (w tym staw);</w:t>
      </w:r>
    </w:p>
    <w:p w14:paraId="1E5828CF" w14:textId="5345AE9F" w:rsidR="00975E63" w:rsidRPr="008B6880" w:rsidRDefault="00B64718" w:rsidP="00975E63">
      <w:pPr>
        <w:pStyle w:val="Akapitzlist"/>
        <w:numPr>
          <w:ilvl w:val="0"/>
          <w:numId w:val="36"/>
        </w:numPr>
        <w:ind w:left="284" w:hanging="283"/>
        <w:rPr>
          <w:color w:val="auto"/>
          <w:szCs w:val="24"/>
        </w:rPr>
      </w:pPr>
      <w:r w:rsidRPr="008B6880">
        <w:rPr>
          <w:color w:val="auto"/>
          <w:szCs w:val="24"/>
        </w:rPr>
        <w:t>umacnianie skarp oraz dna zbiornika retencyjnego poprzez zastosowanie naturalnych rozwiązań takich jak np. kamienie, geowłókniny, warstwa ochronna z pospółki;</w:t>
      </w:r>
    </w:p>
    <w:p w14:paraId="085FBC5D"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zwiększenie średnicy kanału przed zbiornikiem retencyjnym;</w:t>
      </w:r>
    </w:p>
    <w:p w14:paraId="5BC9E0A6"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budowa przebudowa lub odbudowa wlotów rowów melioracyjnych wraz z zastawkami regulująco-odcinającymi;</w:t>
      </w:r>
    </w:p>
    <w:p w14:paraId="6ABC283A"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budowa, przebudowa lub odbudowa (w tym wymiana) zasuw na wylotach zbiornika retencyjnego, w celu uzyskania jak największej pojemności na gromadzenie wody deszczowej;</w:t>
      </w:r>
    </w:p>
    <w:p w14:paraId="4F6036CD"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budowa przebudowa lub odbudowa rowów melioracyjnych oraz ich korekta dotychczasowego przebiegu;</w:t>
      </w:r>
    </w:p>
    <w:p w14:paraId="3923285F"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działania przyczyniające się do zwiększenia pojemności zbiornika retencyjnego i jego możliwości retencyjnych;</w:t>
      </w:r>
    </w:p>
    <w:p w14:paraId="14D08C72"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budowa separatora substancji ropopochodnych wraz z osadnikiem na cząstki stałe przed zbiornikiem retencyjnym;</w:t>
      </w:r>
    </w:p>
    <w:p w14:paraId="1FA8B347"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zakup i montaż systemu sterowania zasuwami oraz urządzeń do pomiaru ilości i poziomu wód w zbiorniku (monitoring poziomu wód opadowych) wraz z podpięciem do systemu. W przypadku gdy jest to konieczne dopuszcza się doprowadzenie prądu w celu podpięcia do systemu sterowania;</w:t>
      </w:r>
    </w:p>
    <w:p w14:paraId="25F277AC"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t>działania przyczyniające się do poprawy przepustowości systemu rowów melioracyjnych oraz retencjonowanie wód w czasie przepływów maksymalnych;</w:t>
      </w:r>
    </w:p>
    <w:p w14:paraId="61E5C2E5" w14:textId="77777777" w:rsidR="00B64718" w:rsidRPr="008B6880" w:rsidRDefault="00B64718" w:rsidP="00B64718">
      <w:pPr>
        <w:pStyle w:val="Akapitzlist"/>
        <w:numPr>
          <w:ilvl w:val="0"/>
          <w:numId w:val="36"/>
        </w:numPr>
        <w:ind w:left="284" w:hanging="283"/>
        <w:rPr>
          <w:color w:val="auto"/>
          <w:szCs w:val="24"/>
        </w:rPr>
      </w:pPr>
      <w:r w:rsidRPr="008B6880">
        <w:rPr>
          <w:color w:val="auto"/>
          <w:szCs w:val="24"/>
        </w:rPr>
        <w:lastRenderedPageBreak/>
        <w:t>zagospodarowanie wód opadowych w celu zwiększenia retencji wodnej dzięki zatrzymywaniu wody w miejscu upadku. Wraz z instalacją małych systemów umożliwiających wykorzystanie wody do podlewania pobliskiej zieleni np.:</w:t>
      </w:r>
    </w:p>
    <w:p w14:paraId="4672BAFC" w14:textId="77777777" w:rsidR="00B64718" w:rsidRPr="008B6880" w:rsidRDefault="00B64718" w:rsidP="00B64718">
      <w:pPr>
        <w:pStyle w:val="Akapitzlist"/>
        <w:numPr>
          <w:ilvl w:val="0"/>
          <w:numId w:val="38"/>
        </w:numPr>
        <w:rPr>
          <w:color w:val="auto"/>
          <w:szCs w:val="24"/>
        </w:rPr>
      </w:pPr>
      <w:r w:rsidRPr="008B6880">
        <w:rPr>
          <w:color w:val="auto"/>
          <w:szCs w:val="24"/>
        </w:rPr>
        <w:t>zbiorniki na deszczówkę,</w:t>
      </w:r>
    </w:p>
    <w:p w14:paraId="3A7C2FB0" w14:textId="6DEC6A9C" w:rsidR="00B64718" w:rsidRPr="008B6880" w:rsidRDefault="008D387C" w:rsidP="00B64718">
      <w:pPr>
        <w:pStyle w:val="Akapitzlist"/>
        <w:numPr>
          <w:ilvl w:val="0"/>
          <w:numId w:val="38"/>
        </w:numPr>
        <w:rPr>
          <w:color w:val="auto"/>
          <w:szCs w:val="24"/>
        </w:rPr>
      </w:pPr>
      <w:r w:rsidRPr="008B6880">
        <w:rPr>
          <w:color w:val="auto"/>
          <w:szCs w:val="24"/>
        </w:rPr>
        <w:t>b</w:t>
      </w:r>
      <w:r w:rsidR="00B64718" w:rsidRPr="008B6880">
        <w:rPr>
          <w:color w:val="auto"/>
          <w:szCs w:val="24"/>
        </w:rPr>
        <w:t xml:space="preserve">eczka z wężem ogrodowym, </w:t>
      </w:r>
    </w:p>
    <w:p w14:paraId="493E3A1F" w14:textId="4D3B950C" w:rsidR="00B64718" w:rsidRPr="008B6880" w:rsidRDefault="008D387C" w:rsidP="00B64718">
      <w:pPr>
        <w:pStyle w:val="Akapitzlist"/>
        <w:numPr>
          <w:ilvl w:val="0"/>
          <w:numId w:val="38"/>
        </w:numPr>
        <w:rPr>
          <w:color w:val="auto"/>
          <w:szCs w:val="24"/>
        </w:rPr>
      </w:pPr>
      <w:r w:rsidRPr="008B6880">
        <w:rPr>
          <w:color w:val="auto"/>
          <w:szCs w:val="24"/>
        </w:rPr>
        <w:t>s</w:t>
      </w:r>
      <w:r w:rsidR="00B64718" w:rsidRPr="008B6880">
        <w:rPr>
          <w:color w:val="auto"/>
          <w:szCs w:val="24"/>
        </w:rPr>
        <w:t xml:space="preserve">ystem kroplowy zasilany deszczówką, </w:t>
      </w:r>
    </w:p>
    <w:p w14:paraId="7348802A" w14:textId="77777777" w:rsidR="00B64718" w:rsidRPr="008B6880" w:rsidRDefault="00B64718" w:rsidP="00B64718">
      <w:pPr>
        <w:pStyle w:val="Akapitzlist"/>
        <w:numPr>
          <w:ilvl w:val="0"/>
          <w:numId w:val="38"/>
        </w:numPr>
        <w:rPr>
          <w:color w:val="auto"/>
          <w:szCs w:val="24"/>
        </w:rPr>
      </w:pPr>
      <w:r w:rsidRPr="008B6880">
        <w:rPr>
          <w:color w:val="auto"/>
          <w:szCs w:val="24"/>
        </w:rPr>
        <w:t xml:space="preserve">ogrody deszczowe, </w:t>
      </w:r>
    </w:p>
    <w:p w14:paraId="3F69C158" w14:textId="6B2F3A87" w:rsidR="00B64718" w:rsidRPr="008B6880" w:rsidRDefault="008D387C" w:rsidP="00B64718">
      <w:pPr>
        <w:pStyle w:val="Akapitzlist"/>
        <w:numPr>
          <w:ilvl w:val="0"/>
          <w:numId w:val="38"/>
        </w:numPr>
        <w:rPr>
          <w:color w:val="auto"/>
          <w:szCs w:val="24"/>
        </w:rPr>
      </w:pPr>
      <w:r w:rsidRPr="008B6880">
        <w:rPr>
          <w:color w:val="auto"/>
          <w:szCs w:val="24"/>
        </w:rPr>
        <w:t>s</w:t>
      </w:r>
      <w:r w:rsidR="00B64718" w:rsidRPr="008B6880">
        <w:rPr>
          <w:color w:val="auto"/>
          <w:szCs w:val="24"/>
        </w:rPr>
        <w:t xml:space="preserve">tudnia chłonna / skrzynki rozsączające, </w:t>
      </w:r>
    </w:p>
    <w:p w14:paraId="572B30FF" w14:textId="3010BB4D" w:rsidR="00B64718" w:rsidRPr="008B6880" w:rsidRDefault="008D387C" w:rsidP="00B64718">
      <w:pPr>
        <w:pStyle w:val="Akapitzlist"/>
        <w:numPr>
          <w:ilvl w:val="0"/>
          <w:numId w:val="38"/>
        </w:numPr>
        <w:rPr>
          <w:color w:val="auto"/>
          <w:szCs w:val="24"/>
        </w:rPr>
      </w:pPr>
      <w:r w:rsidRPr="008B6880">
        <w:rPr>
          <w:color w:val="auto"/>
          <w:szCs w:val="24"/>
        </w:rPr>
        <w:t>z</w:t>
      </w:r>
      <w:r w:rsidR="00B64718" w:rsidRPr="008B6880">
        <w:rPr>
          <w:color w:val="auto"/>
          <w:szCs w:val="24"/>
        </w:rPr>
        <w:t>biornik podziemny z pompą.</w:t>
      </w:r>
    </w:p>
    <w:p w14:paraId="3D278986" w14:textId="77777777" w:rsidR="008D387C" w:rsidRPr="008B6880" w:rsidRDefault="009E64B8" w:rsidP="008D387C">
      <w:pPr>
        <w:pStyle w:val="Akapitzlist"/>
        <w:numPr>
          <w:ilvl w:val="0"/>
          <w:numId w:val="36"/>
        </w:numPr>
        <w:ind w:left="284" w:hanging="283"/>
        <w:rPr>
          <w:color w:val="auto"/>
          <w:szCs w:val="24"/>
        </w:rPr>
      </w:pPr>
      <w:bookmarkStart w:id="1" w:name="_Hlk216681561"/>
      <w:r w:rsidRPr="008B6880">
        <w:rPr>
          <w:color w:val="auto"/>
          <w:szCs w:val="24"/>
        </w:rPr>
        <w:t>elementy uzupełniające sieć wodną mające na celu zmniejszenie ryzyka zalania i podtopień, przyczyniające się do odprowadzenia wód opadowych, które łączą się z systemami zatrzymującymi wodę w miejscu opadu (np. zbiornikiem retencyjnym lub innym systemem o tym charakterze). W przypadku konieczności zastosowania elementów sieci wodnej, konieczne jest dołączenie do wniosku uzasadnienia, potwierdzającego występowanie wysokiego ryzyka powodziowego na terenie realizacji projektu;</w:t>
      </w:r>
      <w:bookmarkEnd w:id="1"/>
    </w:p>
    <w:p w14:paraId="60F0857D" w14:textId="77777777" w:rsidR="008D387C" w:rsidRPr="008B6880" w:rsidRDefault="008D387C" w:rsidP="008D387C">
      <w:pPr>
        <w:pStyle w:val="Akapitzlist"/>
        <w:numPr>
          <w:ilvl w:val="0"/>
          <w:numId w:val="36"/>
        </w:numPr>
        <w:ind w:left="284" w:hanging="283"/>
        <w:rPr>
          <w:color w:val="auto"/>
          <w:szCs w:val="24"/>
        </w:rPr>
      </w:pPr>
      <w:r w:rsidRPr="008B6880">
        <w:rPr>
          <w:color w:val="auto"/>
          <w:szCs w:val="24"/>
        </w:rPr>
        <w:t>wydatki na działania informacyjne i informacyjno-promocyjne, bezpośrednio związane z realizacją projektu maksymalnie 30 tys. PLN wydatków kwalifikowalnych projektu (przykładowe działania: spotkania z lokalną społecznością, materiały w wersji elektronicznej, strona internetowa, w tym materiały do pobrania oraz publikacje on-line itd., artykuł w prasie lokalnej lub/i audycja w lokalnym radiu lub/i reklama w lokalnej telewizji, kampanie w szkołach, przedszkolach, tablice informacyjne, plakaty, naklejki itp.);</w:t>
      </w:r>
    </w:p>
    <w:p w14:paraId="541639CD" w14:textId="77777777" w:rsidR="008D387C" w:rsidRPr="008B6880" w:rsidRDefault="008D387C" w:rsidP="008D387C">
      <w:pPr>
        <w:pStyle w:val="Akapitzlist"/>
        <w:numPr>
          <w:ilvl w:val="0"/>
          <w:numId w:val="36"/>
        </w:numPr>
        <w:ind w:left="284" w:hanging="283"/>
        <w:rPr>
          <w:color w:val="auto"/>
          <w:szCs w:val="24"/>
        </w:rPr>
      </w:pPr>
      <w:r w:rsidRPr="008B6880">
        <w:rPr>
          <w:color w:val="auto"/>
          <w:szCs w:val="24"/>
        </w:rPr>
        <w:t>wydatki na działania informacyjno-edukacyjne w zakresie wiedzy o zmianach klimatu i ochrony zasobów wodnych (spotkania z lokalną społecznością, materiały w wersji elektronicznej, strona internetowa, w tym materiały do pobrania oraz publikacje on-line itd., artykuł w prasie lokalnej lub/i audycja w lokalnym radiu lub/i reklama w lokalnej telewizji, kampanie w szkołach, przedszkolach);</w:t>
      </w:r>
    </w:p>
    <w:p w14:paraId="33779FEC" w14:textId="77777777" w:rsidR="008D387C" w:rsidRPr="008B6880" w:rsidRDefault="008D387C" w:rsidP="008D387C">
      <w:pPr>
        <w:pStyle w:val="Akapitzlist"/>
        <w:numPr>
          <w:ilvl w:val="0"/>
          <w:numId w:val="36"/>
        </w:numPr>
        <w:ind w:left="284" w:hanging="283"/>
        <w:rPr>
          <w:color w:val="auto"/>
          <w:szCs w:val="24"/>
        </w:rPr>
      </w:pPr>
      <w:r w:rsidRPr="008B6880">
        <w:rPr>
          <w:color w:val="auto"/>
          <w:szCs w:val="24"/>
        </w:rPr>
        <w:t>prace przygotowawcze w zakresie wskazanym w umowie o dofinansowanie projektu przez IZ FEWL 21-27 oraz w umowie o dofinansowanie projektu realizowanego w trybie „zaprojektuj i wybuduj” tj.: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w:t>
      </w:r>
    </w:p>
    <w:p w14:paraId="04F989C5" w14:textId="35FC8499" w:rsidR="008D387C" w:rsidRPr="008B6880" w:rsidRDefault="008D387C" w:rsidP="008D387C">
      <w:pPr>
        <w:pStyle w:val="Akapitzlist"/>
        <w:numPr>
          <w:ilvl w:val="0"/>
          <w:numId w:val="36"/>
        </w:numPr>
        <w:ind w:left="284" w:hanging="283"/>
        <w:rPr>
          <w:color w:val="auto"/>
          <w:szCs w:val="24"/>
        </w:rPr>
      </w:pPr>
      <w:r w:rsidRPr="008B6880">
        <w:rPr>
          <w:color w:val="auto"/>
          <w:szCs w:val="24"/>
        </w:rPr>
        <w:lastRenderedPageBreak/>
        <w:t>zgodnie z Podrozdziałem 3.5. Podatek od towarów i usług (VAT) Wytycznych dotyczących kwalifikowalności wydatków na lata 2021-2027 Ministra Funduszy i Polityki Regionalnej, wydatki poniesione na podatek od towarów i usług mogą zostać uznane za kwalifikowalne:</w:t>
      </w:r>
    </w:p>
    <w:p w14:paraId="7426F712" w14:textId="77777777" w:rsidR="008D387C" w:rsidRPr="008B6880" w:rsidRDefault="008D387C" w:rsidP="008D387C">
      <w:pPr>
        <w:pStyle w:val="Akapitzlist"/>
        <w:numPr>
          <w:ilvl w:val="0"/>
          <w:numId w:val="13"/>
        </w:numPr>
        <w:ind w:left="567" w:hanging="218"/>
        <w:rPr>
          <w:color w:val="auto"/>
          <w:szCs w:val="24"/>
        </w:rPr>
      </w:pPr>
      <w:r w:rsidRPr="008B6880">
        <w:rPr>
          <w:color w:val="auto"/>
          <w:szCs w:val="24"/>
        </w:rPr>
        <w:t>w projekcie, którego łączny koszt</w:t>
      </w:r>
      <w:r w:rsidRPr="008B6880">
        <w:rPr>
          <w:color w:val="auto"/>
          <w:szCs w:val="24"/>
          <w:vertAlign w:val="superscript"/>
        </w:rPr>
        <w:footnoteReference w:id="2"/>
      </w:r>
      <w:r w:rsidRPr="008B6880">
        <w:rPr>
          <w:color w:val="auto"/>
          <w:szCs w:val="24"/>
        </w:rPr>
        <w:t xml:space="preserve"> jest mniejszy niż 5 mln EUR (włączając VAT), z wyłączeniem projektów objętych pomocą publiczną;</w:t>
      </w:r>
    </w:p>
    <w:p w14:paraId="4FD60613" w14:textId="1A69F8A4" w:rsidR="008D387C" w:rsidRPr="008B6880" w:rsidRDefault="008D387C" w:rsidP="008D387C">
      <w:pPr>
        <w:pStyle w:val="Akapitzlist"/>
        <w:numPr>
          <w:ilvl w:val="0"/>
          <w:numId w:val="13"/>
        </w:numPr>
        <w:ind w:left="567" w:hanging="218"/>
        <w:rPr>
          <w:color w:val="auto"/>
          <w:szCs w:val="24"/>
        </w:rPr>
      </w:pPr>
      <w:r w:rsidRPr="008B6880">
        <w:rPr>
          <w:color w:val="auto"/>
          <w:szCs w:val="24"/>
        </w:rPr>
        <w:t xml:space="preserve">w ramach projektu, którego łączny koszt wynosi co najmniej 5 mln EUR (włączając VAT), biorąc pod uwagę, iż prawo do obniżenia podatku VAT należnego o podatek VAT naliczony może powstać zarówno w okresie realizacji projektu, jak i po jego zakończeniu, IZ będąca stroną umowy </w:t>
      </w:r>
      <w:r w:rsidR="008B6880" w:rsidRPr="008B6880">
        <w:rPr>
          <w:color w:val="auto"/>
          <w:szCs w:val="24"/>
        </w:rPr>
        <w:t>wymaga</w:t>
      </w:r>
      <w:r w:rsidRPr="008B6880">
        <w:rPr>
          <w:color w:val="auto"/>
          <w:szCs w:val="24"/>
        </w:rPr>
        <w:t>, aby beneficjenci, którzy zaliczą podatek VAT do wydatków kwalifikowalnych, dołączy</w:t>
      </w:r>
      <w:r w:rsidR="008B6880" w:rsidRPr="008B6880">
        <w:rPr>
          <w:color w:val="auto"/>
          <w:szCs w:val="24"/>
        </w:rPr>
        <w:t>li</w:t>
      </w:r>
      <w:r w:rsidRPr="008B6880">
        <w:rPr>
          <w:color w:val="auto"/>
          <w:szCs w:val="24"/>
        </w:rPr>
        <w:t xml:space="preserve"> do wniosku o dofinansowanie projektu „Oświadczenie o kwalifikowalności VAT”. Oświadczenie składa się z dwóch integralnych części. W ramach pierwszej części beneficjent oświadcza, iż w chwili składania wniosku o dofinansowanie projektu nie ma prawnej możliwości odzyskania podatku VAT, którego wysokość została określona w odpowiednim punkcie wniosku o dofinansowanie projektu (fakt ten decyduje o kwalifikowalności </w:t>
      </w:r>
      <w:r w:rsidRPr="008B6880">
        <w:rPr>
          <w:rFonts w:ascii="ArialMT" w:eastAsiaTheme="minorEastAsia" w:hAnsi="ArialMT" w:cs="ArialMT"/>
          <w:color w:val="auto"/>
          <w:kern w:val="0"/>
          <w:szCs w:val="24"/>
        </w:rPr>
        <w:t>VAT). Natomiast w części drugiej beneficjent zobowiązuje się do zwrotu zrefundowanej ze środków unijnych części VAT, jeżeli zaistnieją przesłanki umożliwiające odzyskanie tego podatku. „Oświadczenie o kwalifikowalności VAT” podpisane przez beneficjenta stanowi załącznik do zawieranej z beneficjentem umowy o dofinansowanie projektu.</w:t>
      </w:r>
    </w:p>
    <w:p w14:paraId="008C03E4" w14:textId="7F883F62" w:rsidR="006844A9" w:rsidRPr="008B6880" w:rsidRDefault="00B64718" w:rsidP="006844A9">
      <w:pPr>
        <w:pStyle w:val="Nagwek1"/>
        <w:spacing w:before="240"/>
        <w:ind w:left="177" w:hanging="192"/>
        <w:jc w:val="both"/>
        <w:rPr>
          <w:color w:val="auto"/>
          <w:sz w:val="24"/>
          <w:szCs w:val="24"/>
        </w:rPr>
      </w:pPr>
      <w:r w:rsidRPr="008B6880">
        <w:rPr>
          <w:color w:val="auto"/>
          <w:sz w:val="24"/>
          <w:szCs w:val="24"/>
        </w:rPr>
        <w:t>Przykładowe w</w:t>
      </w:r>
      <w:r w:rsidR="000071FA" w:rsidRPr="008B6880">
        <w:rPr>
          <w:color w:val="auto"/>
          <w:sz w:val="24"/>
          <w:szCs w:val="24"/>
        </w:rPr>
        <w:t>ydatki kwalifikowalne</w:t>
      </w:r>
      <w:r w:rsidR="006844A9" w:rsidRPr="008B6880">
        <w:rPr>
          <w:color w:val="auto"/>
          <w:sz w:val="24"/>
          <w:szCs w:val="24"/>
        </w:rPr>
        <w:t xml:space="preserve"> jako element uzupełniający realizacji działań edukacyjnych w obszarze zmian klimatycznych oraz ochrony zasobów wodnych. </w:t>
      </w:r>
    </w:p>
    <w:p w14:paraId="32C56E26" w14:textId="46CB4E6A" w:rsidR="00F924DD" w:rsidRPr="008B6880" w:rsidRDefault="00F924DD" w:rsidP="006844A9">
      <w:pPr>
        <w:spacing w:before="240" w:after="19" w:line="259" w:lineRule="auto"/>
        <w:ind w:left="0" w:right="0" w:firstLine="0"/>
        <w:rPr>
          <w:color w:val="auto"/>
          <w:szCs w:val="24"/>
        </w:rPr>
      </w:pPr>
      <w:r w:rsidRPr="008B6880">
        <w:rPr>
          <w:color w:val="auto"/>
          <w:szCs w:val="24"/>
        </w:rPr>
        <w:t>Do przykładowych wydatków kwalifikowalnych, mogą zostać zaliczone działania edukacyjne mające na celu wspieranie przystosowania się do zmian klimatu i zapobiegania ryzyku związanemu z klęskami żywiołowymi i katastrofami, a także odporności, z uwzględnieniem podejścia ekosystemowego, w zakresie realizowanego typu projektu, np.:</w:t>
      </w:r>
    </w:p>
    <w:p w14:paraId="5B1F7654" w14:textId="77777777" w:rsidR="00F924DD" w:rsidRPr="008B6880" w:rsidRDefault="00F924DD" w:rsidP="00F924DD">
      <w:pPr>
        <w:pStyle w:val="Akapitzlist"/>
        <w:numPr>
          <w:ilvl w:val="0"/>
          <w:numId w:val="39"/>
        </w:numPr>
        <w:ind w:left="426"/>
        <w:rPr>
          <w:color w:val="auto"/>
          <w:szCs w:val="24"/>
        </w:rPr>
      </w:pPr>
      <w:r w:rsidRPr="008B6880">
        <w:rPr>
          <w:color w:val="auto"/>
          <w:szCs w:val="24"/>
        </w:rPr>
        <w:t>organizacja zajęć dydaktycznych, edukacyjnych (stacjonarnych i terenowych), prezentacje multimedialne, projekcje filmowe itp.;</w:t>
      </w:r>
    </w:p>
    <w:p w14:paraId="610B5C24" w14:textId="77777777" w:rsidR="00F924DD" w:rsidRPr="008B6880" w:rsidRDefault="00F924DD" w:rsidP="00F924DD">
      <w:pPr>
        <w:pStyle w:val="Akapitzlist"/>
        <w:numPr>
          <w:ilvl w:val="0"/>
          <w:numId w:val="39"/>
        </w:numPr>
        <w:ind w:left="426"/>
        <w:rPr>
          <w:color w:val="auto"/>
          <w:szCs w:val="24"/>
        </w:rPr>
      </w:pPr>
      <w:r w:rsidRPr="008B6880">
        <w:rPr>
          <w:color w:val="auto"/>
          <w:szCs w:val="24"/>
        </w:rPr>
        <w:t>publikacje, filmy i przeźrocza, wydawnictwa, zabawy o tematyce związanej z adaptacją do zmian klimatu, segregacji odpadów itp.;</w:t>
      </w:r>
    </w:p>
    <w:p w14:paraId="0BDAB2F0" w14:textId="77777777" w:rsidR="00F924DD" w:rsidRPr="008B6880" w:rsidRDefault="00F924DD" w:rsidP="00F924DD">
      <w:pPr>
        <w:pStyle w:val="Akapitzlist"/>
        <w:numPr>
          <w:ilvl w:val="0"/>
          <w:numId w:val="39"/>
        </w:numPr>
        <w:ind w:left="426"/>
        <w:rPr>
          <w:color w:val="auto"/>
          <w:szCs w:val="24"/>
        </w:rPr>
      </w:pPr>
      <w:r w:rsidRPr="008B6880">
        <w:rPr>
          <w:color w:val="auto"/>
          <w:szCs w:val="24"/>
        </w:rPr>
        <w:t>praktyczne (badawcze) zajęcia np. spacery, piesze wycieczki, zajęcia w terenie, doświadczenia i eksperymenty;</w:t>
      </w:r>
    </w:p>
    <w:p w14:paraId="600F5D34" w14:textId="77777777" w:rsidR="00F924DD" w:rsidRPr="008B6880" w:rsidRDefault="00F924DD" w:rsidP="00F924DD">
      <w:pPr>
        <w:pStyle w:val="Akapitzlist"/>
        <w:numPr>
          <w:ilvl w:val="0"/>
          <w:numId w:val="39"/>
        </w:numPr>
        <w:ind w:left="426"/>
        <w:rPr>
          <w:color w:val="auto"/>
          <w:szCs w:val="24"/>
        </w:rPr>
      </w:pPr>
      <w:r w:rsidRPr="008B6880">
        <w:rPr>
          <w:color w:val="auto"/>
          <w:szCs w:val="24"/>
        </w:rPr>
        <w:lastRenderedPageBreak/>
        <w:t>tablice edukacyjne (w tym z kodem QR), gry edukacyjne, totemy edukacyjne, totemy interaktywno-edukacyjne –  związane z typem projektu;</w:t>
      </w:r>
    </w:p>
    <w:p w14:paraId="487780B0" w14:textId="77777777" w:rsidR="00F924DD" w:rsidRPr="008B6880" w:rsidRDefault="00F924DD" w:rsidP="00F924DD">
      <w:pPr>
        <w:pStyle w:val="Akapitzlist"/>
        <w:numPr>
          <w:ilvl w:val="0"/>
          <w:numId w:val="39"/>
        </w:numPr>
        <w:ind w:left="426"/>
        <w:rPr>
          <w:color w:val="auto"/>
          <w:szCs w:val="24"/>
        </w:rPr>
      </w:pPr>
      <w:r w:rsidRPr="008B6880">
        <w:rPr>
          <w:color w:val="auto"/>
          <w:szCs w:val="24"/>
        </w:rPr>
        <w:t>dostosowania dla osób z niepełnosprawnością ruchową oraz sensoryczną np.: platforma, najazd/zjazd, tablice edukacyjne dla osób niewidomych;</w:t>
      </w:r>
    </w:p>
    <w:p w14:paraId="2B90AFE3" w14:textId="77777777" w:rsidR="00F924DD" w:rsidRPr="008B6880" w:rsidRDefault="00F924DD" w:rsidP="00F924DD">
      <w:pPr>
        <w:pStyle w:val="Akapitzlist"/>
        <w:numPr>
          <w:ilvl w:val="0"/>
          <w:numId w:val="39"/>
        </w:numPr>
        <w:ind w:left="426"/>
        <w:rPr>
          <w:color w:val="auto"/>
          <w:szCs w:val="24"/>
        </w:rPr>
      </w:pPr>
      <w:r w:rsidRPr="008B6880">
        <w:rPr>
          <w:color w:val="auto"/>
          <w:szCs w:val="24"/>
        </w:rPr>
        <w:t>konkursy edukacyjne związane z adaptacją do zmian klimatu wraz z nagrodami. Nagrody muszą być adekwatne do wieku uczestników i związane z tematyką projektu;</w:t>
      </w:r>
    </w:p>
    <w:p w14:paraId="68B86A09" w14:textId="77777777" w:rsidR="00F924DD" w:rsidRPr="008B6880" w:rsidRDefault="00F924DD" w:rsidP="00F924DD">
      <w:pPr>
        <w:pStyle w:val="Akapitzlist"/>
        <w:numPr>
          <w:ilvl w:val="0"/>
          <w:numId w:val="39"/>
        </w:numPr>
        <w:ind w:left="426"/>
        <w:rPr>
          <w:color w:val="auto"/>
          <w:szCs w:val="24"/>
        </w:rPr>
      </w:pPr>
      <w:r w:rsidRPr="008B6880">
        <w:rPr>
          <w:color w:val="auto"/>
          <w:szCs w:val="24"/>
        </w:rPr>
        <w:t>w przypadku zajęć edukacyjnych stacjonarnych trwających powyżej 6 godzin oraz jednorazowo w przypadku wydarzenia związanego z ogłoszeniem wyników w konkursie, wraz z wręczeniem nagród, trwającego powyżej 4 godzin, istnieje możliwość zakupu poczęstunku dla uczestników, np.: kawa, herbata, woda, ciastka, słone i słodkie przekąski, catering „zimna płyta”;</w:t>
      </w:r>
    </w:p>
    <w:p w14:paraId="05C8BB8E" w14:textId="77777777" w:rsidR="00F924DD" w:rsidRPr="008B6880" w:rsidRDefault="00F924DD" w:rsidP="00F924DD">
      <w:pPr>
        <w:pStyle w:val="Akapitzlist"/>
        <w:numPr>
          <w:ilvl w:val="0"/>
          <w:numId w:val="39"/>
        </w:numPr>
        <w:ind w:left="426"/>
        <w:rPr>
          <w:color w:val="auto"/>
          <w:szCs w:val="24"/>
        </w:rPr>
      </w:pPr>
      <w:r w:rsidRPr="008B6880">
        <w:rPr>
          <w:color w:val="auto"/>
          <w:szCs w:val="24"/>
        </w:rPr>
        <w:t>w przypadku zajęć edukacyjnych w terenie trwających powyżej 6 godzin istnieje możliwość zakupu poczęstunku dla uczestników, np.: napój w butelce od 0,3l do 0,5l w tym woda (napoje w puszkach będą niekwalifikowalne), catering w formie kanapek, owoce;</w:t>
      </w:r>
    </w:p>
    <w:p w14:paraId="3D2CAD4F" w14:textId="32062D85" w:rsidR="000071FA" w:rsidRPr="008B6880" w:rsidRDefault="00F924DD" w:rsidP="00F924DD">
      <w:pPr>
        <w:pStyle w:val="Akapitzlist"/>
        <w:numPr>
          <w:ilvl w:val="0"/>
          <w:numId w:val="39"/>
        </w:numPr>
        <w:ind w:left="426"/>
        <w:rPr>
          <w:color w:val="auto"/>
          <w:szCs w:val="24"/>
        </w:rPr>
      </w:pPr>
      <w:r w:rsidRPr="008B6880">
        <w:rPr>
          <w:color w:val="auto"/>
          <w:szCs w:val="24"/>
        </w:rPr>
        <w:t>inne działania zwiększające świadomość społeczną w zakresie przeciwdziałania skutkom zmian klimatycznym.</w:t>
      </w:r>
    </w:p>
    <w:p w14:paraId="09846D6D" w14:textId="7AE0BC1A" w:rsidR="007C70BA" w:rsidRPr="008B6880" w:rsidRDefault="007C70BA" w:rsidP="00F924DD">
      <w:pPr>
        <w:pStyle w:val="Nagwek1"/>
        <w:spacing w:before="240"/>
        <w:ind w:left="177" w:hanging="192"/>
        <w:rPr>
          <w:color w:val="auto"/>
          <w:sz w:val="24"/>
          <w:szCs w:val="24"/>
        </w:rPr>
      </w:pPr>
      <w:r w:rsidRPr="008B6880">
        <w:rPr>
          <w:color w:val="auto"/>
          <w:sz w:val="24"/>
          <w:szCs w:val="24"/>
        </w:rPr>
        <w:t>Koszty pośrednie:</w:t>
      </w:r>
    </w:p>
    <w:p w14:paraId="22581F89" w14:textId="4CFA6FE6" w:rsidR="003F4A03" w:rsidRPr="008B6880" w:rsidRDefault="003F4A03" w:rsidP="00F924DD">
      <w:pPr>
        <w:spacing w:before="240" w:after="19" w:line="259" w:lineRule="auto"/>
        <w:ind w:left="0" w:right="0" w:firstLine="0"/>
        <w:rPr>
          <w:color w:val="auto"/>
          <w:szCs w:val="24"/>
        </w:rPr>
      </w:pPr>
      <w:r w:rsidRPr="008B6880">
        <w:rPr>
          <w:color w:val="auto"/>
          <w:szCs w:val="24"/>
        </w:rPr>
        <w:t>Typ III: Budowa, przebudowa lub remont urządzeń wodnych i infrastruktury towarzyszącej służących zmniejszeniu skutków powodzi lub suszy. Projekty o charakterze regionalnym i lokalnym wynikające z potrzeb JST.</w:t>
      </w:r>
    </w:p>
    <w:p w14:paraId="4113B455" w14:textId="5CCB4D73" w:rsidR="0073751D" w:rsidRPr="008B6880" w:rsidRDefault="003F4A03" w:rsidP="00F924DD">
      <w:pPr>
        <w:spacing w:before="240" w:after="19" w:line="259" w:lineRule="auto"/>
        <w:ind w:left="0" w:right="0" w:firstLine="0"/>
        <w:rPr>
          <w:color w:val="auto"/>
          <w:szCs w:val="24"/>
        </w:rPr>
      </w:pPr>
      <w:r w:rsidRPr="008B6880">
        <w:rPr>
          <w:color w:val="auto"/>
          <w:szCs w:val="24"/>
        </w:rPr>
        <w:t>Typ IV: Wspieranie małej retencji (w tym zagospodarowanie wód opadowych i roztopowych oraz rozwój błękitno-zielonej infrastruktury)wsparcie projektów realizowanych przez podmioty inne niż podlegające/nadzorowane przez administrację centralną.</w:t>
      </w:r>
    </w:p>
    <w:p w14:paraId="2BCE4C24" w14:textId="77777777" w:rsidR="008D387C" w:rsidRPr="008B6880" w:rsidRDefault="008D387C" w:rsidP="008D387C">
      <w:pPr>
        <w:spacing w:before="240" w:line="276" w:lineRule="auto"/>
        <w:ind w:left="-5" w:right="0"/>
        <w:rPr>
          <w:color w:val="auto"/>
          <w:szCs w:val="24"/>
        </w:rPr>
      </w:pPr>
      <w:bookmarkStart w:id="2" w:name="_Hlk207964623"/>
      <w:r w:rsidRPr="008B6880">
        <w:rPr>
          <w:b/>
          <w:color w:val="auto"/>
          <w:szCs w:val="24"/>
          <w:u w:val="single" w:color="000000"/>
        </w:rPr>
        <w:t xml:space="preserve">Koszty pośrednie – </w:t>
      </w:r>
      <w:r w:rsidRPr="008B6880">
        <w:rPr>
          <w:color w:val="auto"/>
          <w:szCs w:val="24"/>
        </w:rPr>
        <w:t xml:space="preserve">koszty niezbędne do realizacji projektu, których nie można bezpośrednio przypisać do głównego celu projektu, w szczególności koszty administracyjne związane z obsługą projektu, która nie wymaga podejmowania merytorycznych działań zmierzających do osiągnięcia celu projektu. Kosztami pośrednimi w szczególności są: </w:t>
      </w:r>
    </w:p>
    <w:p w14:paraId="244BDB4B" w14:textId="77777777" w:rsidR="008D387C" w:rsidRPr="008B6880" w:rsidRDefault="008D387C" w:rsidP="00053ABE">
      <w:pPr>
        <w:numPr>
          <w:ilvl w:val="1"/>
          <w:numId w:val="2"/>
        </w:numPr>
        <w:spacing w:before="240" w:line="276" w:lineRule="auto"/>
        <w:ind w:left="426" w:right="0" w:hanging="406"/>
        <w:rPr>
          <w:color w:val="auto"/>
          <w:szCs w:val="24"/>
        </w:rPr>
      </w:pPr>
      <w:r w:rsidRPr="008B6880">
        <w:rPr>
          <w:color w:val="auto"/>
          <w:szCs w:val="24"/>
        </w:rPr>
        <w:t xml:space="preserve">koszty koordynatora projektu oraz innego personelu zaangażowanego w  zarządzanie, rozliczanie, monitorowanie projektu lub prowadzenie innych </w:t>
      </w:r>
      <w:r w:rsidRPr="008B6880">
        <w:rPr>
          <w:color w:val="auto"/>
          <w:szCs w:val="24"/>
        </w:rPr>
        <w:lastRenderedPageBreak/>
        <w:t xml:space="preserve">działań administracyjnych  w projekcie, w szczególności koszty wynagrodzenia tych osób, ich delegacji służbowych  i szkoleń, </w:t>
      </w:r>
    </w:p>
    <w:p w14:paraId="0D289A66"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zarządu (wynagrodzenia osób uprawnionych do reprezentowania jednostki, których zakresy czynności nie są przypisane wyłącznie do projektu, np. kierownika jednostki), </w:t>
      </w:r>
    </w:p>
    <w:p w14:paraId="69B7FFD6"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personelu obsługowego (obsługa kadrowa, finansowa, administracyjna, sekretariat, kancelaria, obsługa prawna, w tym dotycząca zamówień) na potrzeby funkcjonowania jednostki, </w:t>
      </w:r>
    </w:p>
    <w:p w14:paraId="52DEAB34"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obsługi księgowej (wynagrodzenia osób księgujących wydatki w  projekcie, koszty związane ze zleceniem prowadzenia obsługi księgowej projektu biuru rachunkowemu), </w:t>
      </w:r>
    </w:p>
    <w:p w14:paraId="435ACA66"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utrzymania powierzchni biurowych (czynsz, najem, opłaty administracyjne), </w:t>
      </w:r>
    </w:p>
    <w:p w14:paraId="0D138319"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wydatki związane z otworzeniem lub prowadzeniem wyodrębnionego na rzecz projektu subkonta na rachunku płatniczym lub odrębnego rachunku płatniczego, </w:t>
      </w:r>
    </w:p>
    <w:p w14:paraId="409919F8"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odpisy, amortyzacje, koszty najmu lub zakupu aktywów (środków trwałych i  wartości niematerialnych i prawnych) używanych na potrzeby osób, o których mowa w pkt. 1 - 4, </w:t>
      </w:r>
    </w:p>
    <w:p w14:paraId="4C86084C"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opłaty za energię elektryczną, cieplną, gazową i wodę, opłaty przesyłowe, opłaty  za odprowadzanie ścieków, opłaty za wywóz odpadów komunalnych, </w:t>
      </w:r>
    </w:p>
    <w:p w14:paraId="4CF93735"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usług pocztowych, telefonicznych, internetowych, kurierskich, </w:t>
      </w:r>
    </w:p>
    <w:p w14:paraId="0FC7BFCD"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usług powielania dokumentów, </w:t>
      </w:r>
    </w:p>
    <w:p w14:paraId="7D15E340"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materiałów biurowych i artykułów piśmienniczych, </w:t>
      </w:r>
    </w:p>
    <w:p w14:paraId="4BBC0EE7"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ochrony, </w:t>
      </w:r>
    </w:p>
    <w:p w14:paraId="0894891D"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koszty sprzątania pomieszczeń, w tym środków czystości, dezynsekcji, dezynfekcji, deratyzacji tych pomieszczeń, </w:t>
      </w:r>
    </w:p>
    <w:p w14:paraId="455CE52B" w14:textId="77777777" w:rsidR="008D387C" w:rsidRPr="008B6880" w:rsidRDefault="008D387C" w:rsidP="008D387C">
      <w:pPr>
        <w:numPr>
          <w:ilvl w:val="1"/>
          <w:numId w:val="2"/>
        </w:numPr>
        <w:spacing w:line="276" w:lineRule="auto"/>
        <w:ind w:left="426" w:right="0" w:hanging="406"/>
        <w:rPr>
          <w:color w:val="auto"/>
          <w:szCs w:val="24"/>
        </w:rPr>
      </w:pPr>
      <w:r w:rsidRPr="008B6880">
        <w:rPr>
          <w:color w:val="auto"/>
          <w:szCs w:val="24"/>
        </w:rPr>
        <w:t xml:space="preserve">opłaty pobierane od dokonywanych transakcji płatniczych (krajowych lub zagranicznych). </w:t>
      </w:r>
    </w:p>
    <w:p w14:paraId="5E9CDD2D" w14:textId="18601879" w:rsidR="00643600" w:rsidRPr="008B6880" w:rsidRDefault="008D387C" w:rsidP="00053ABE">
      <w:pPr>
        <w:spacing w:before="240" w:after="0" w:line="276" w:lineRule="auto"/>
        <w:ind w:left="0" w:right="0" w:firstLine="0"/>
        <w:rPr>
          <w:color w:val="auto"/>
          <w:szCs w:val="24"/>
        </w:rPr>
      </w:pPr>
      <w:r w:rsidRPr="008B6880">
        <w:rPr>
          <w:b/>
          <w:color w:val="auto"/>
          <w:szCs w:val="24"/>
          <w:u w:val="single" w:color="000000"/>
        </w:rPr>
        <w:t xml:space="preserve">Dla kosztów pośrednich stosuje się Uproszczone metody rozliczania, która wynosi 7% </w:t>
      </w:r>
      <w:r w:rsidRPr="008B6880">
        <w:rPr>
          <w:b/>
          <w:color w:val="auto"/>
          <w:szCs w:val="24"/>
          <w:u w:val="single"/>
        </w:rPr>
        <w:t>stawka ryczałtowa</w:t>
      </w:r>
      <w:r w:rsidRPr="008B6880">
        <w:rPr>
          <w:b/>
          <w:color w:val="auto"/>
          <w:szCs w:val="24"/>
          <w:u w:val="single" w:color="000000"/>
        </w:rPr>
        <w:t xml:space="preserve"> na koszty pośrednie (podstawa wyliczenia: koszty bezpośrednie) [art. 54(a) CPR].</w:t>
      </w:r>
      <w:r w:rsidRPr="008B6880">
        <w:rPr>
          <w:b/>
          <w:color w:val="auto"/>
          <w:szCs w:val="24"/>
        </w:rPr>
        <w:t xml:space="preserve"> </w:t>
      </w:r>
      <w:bookmarkEnd w:id="2"/>
    </w:p>
    <w:p w14:paraId="7B03DD76" w14:textId="6684061A" w:rsidR="006F4D0D" w:rsidRPr="008B6880" w:rsidRDefault="00B32CCF" w:rsidP="008D387C">
      <w:pPr>
        <w:pStyle w:val="Nagwek1"/>
        <w:spacing w:before="240"/>
        <w:ind w:left="242" w:hanging="257"/>
        <w:rPr>
          <w:color w:val="auto"/>
          <w:sz w:val="24"/>
          <w:szCs w:val="24"/>
          <w:u w:val="none"/>
        </w:rPr>
      </w:pPr>
      <w:r w:rsidRPr="008B6880">
        <w:rPr>
          <w:color w:val="auto"/>
          <w:sz w:val="24"/>
          <w:szCs w:val="24"/>
        </w:rPr>
        <w:t>Wydatki niekwalifikowalne</w:t>
      </w:r>
      <w:r w:rsidRPr="008B6880">
        <w:rPr>
          <w:color w:val="auto"/>
          <w:sz w:val="24"/>
          <w:szCs w:val="24"/>
          <w:u w:val="none"/>
        </w:rPr>
        <w:t xml:space="preserve"> </w:t>
      </w:r>
    </w:p>
    <w:p w14:paraId="572133B2" w14:textId="256EB1E2" w:rsidR="006F4D0D" w:rsidRPr="008B6880" w:rsidRDefault="006F4D0D" w:rsidP="00975E63">
      <w:pPr>
        <w:spacing w:before="240" w:after="19" w:line="259" w:lineRule="auto"/>
        <w:ind w:left="0" w:right="0" w:firstLine="0"/>
        <w:rPr>
          <w:color w:val="auto"/>
          <w:szCs w:val="24"/>
        </w:rPr>
      </w:pPr>
      <w:r w:rsidRPr="008B6880">
        <w:rPr>
          <w:color w:val="auto"/>
          <w:szCs w:val="24"/>
        </w:rPr>
        <w:t>Typ III: Budowa, przebudowa lub remont urządzeń wodnych i infrastruktury towarzyszącej służących zmniejszeniu skutków powodzi lub suszy. Projekty o charakterze regionalnym i lokalnym wynikające z potrzeb JST.</w:t>
      </w:r>
    </w:p>
    <w:p w14:paraId="635E9926" w14:textId="194C5C41" w:rsidR="006F4D0D" w:rsidRPr="008B6880" w:rsidRDefault="006F4D0D" w:rsidP="00975E63">
      <w:pPr>
        <w:spacing w:before="240" w:after="19" w:line="259" w:lineRule="auto"/>
        <w:ind w:left="0" w:right="0" w:firstLine="0"/>
        <w:rPr>
          <w:color w:val="auto"/>
          <w:szCs w:val="24"/>
        </w:rPr>
      </w:pPr>
      <w:r w:rsidRPr="008B6880">
        <w:rPr>
          <w:color w:val="auto"/>
          <w:szCs w:val="24"/>
        </w:rPr>
        <w:lastRenderedPageBreak/>
        <w:t>Typ IV: Wspieranie małej retencji (w tym zagospodarowanie wód opadowych i roztopowych oraz rozwój błękitno-zielonej infrastruktury)wsparcie projektów realizowanych przez podmioty inne niż podlegające/nadzorowane przez administrację centralną.</w:t>
      </w:r>
    </w:p>
    <w:p w14:paraId="2CB230A2" w14:textId="77777777" w:rsidR="00975E63" w:rsidRPr="008B6880" w:rsidRDefault="00975E63" w:rsidP="00975E63">
      <w:pPr>
        <w:spacing w:before="240" w:after="0" w:line="276" w:lineRule="auto"/>
        <w:ind w:left="0" w:right="0" w:firstLine="0"/>
        <w:jc w:val="left"/>
        <w:rPr>
          <w:b/>
          <w:color w:val="auto"/>
          <w:szCs w:val="24"/>
        </w:rPr>
      </w:pPr>
      <w:r w:rsidRPr="008B6880">
        <w:rPr>
          <w:b/>
          <w:color w:val="auto"/>
          <w:szCs w:val="24"/>
        </w:rPr>
        <w:t xml:space="preserve">Do wydatków niekwalifikowalnych mogą zostać zaliczone w szczególności: </w:t>
      </w:r>
    </w:p>
    <w:p w14:paraId="4B007E2F" w14:textId="77777777" w:rsidR="00975E63" w:rsidRPr="008B6880" w:rsidRDefault="00975E63" w:rsidP="00975E63">
      <w:pPr>
        <w:pStyle w:val="Akapitzlist"/>
        <w:numPr>
          <w:ilvl w:val="0"/>
          <w:numId w:val="40"/>
        </w:numPr>
        <w:spacing w:after="4" w:line="269" w:lineRule="auto"/>
        <w:ind w:right="158"/>
        <w:rPr>
          <w:color w:val="auto"/>
        </w:rPr>
      </w:pPr>
      <w:r w:rsidRPr="008B6880">
        <w:rPr>
          <w:color w:val="auto"/>
        </w:rPr>
        <w:t>wydatki wskazane w art. 64 rozporządzenia ogólnego, art. 7 ust. 1 i 5 rozporządzenia EFRR i FS, art. 16 ust. 1 rozporządzenia EFS+, art. 9 rozporządzenia FST;</w:t>
      </w:r>
    </w:p>
    <w:p w14:paraId="6CF5A7EA" w14:textId="77777777" w:rsidR="00975E63" w:rsidRPr="008B6880" w:rsidRDefault="00975E63" w:rsidP="00975E63">
      <w:pPr>
        <w:pStyle w:val="Akapitzlist"/>
        <w:numPr>
          <w:ilvl w:val="0"/>
          <w:numId w:val="40"/>
        </w:numPr>
        <w:spacing w:after="4" w:line="269" w:lineRule="auto"/>
        <w:ind w:right="158"/>
        <w:rPr>
          <w:color w:val="auto"/>
        </w:rPr>
      </w:pPr>
      <w:r w:rsidRPr="008B6880">
        <w:rPr>
          <w:color w:val="auto"/>
        </w:rPr>
        <w:t>wydatki ujęte w podrozdziale 2.3. Wydatki niekwalifikowalne Wytycznych Ministra Funduszy i Polityki Regionalnej dotyczących kwalifikowalności wydatków na lata 2021-2027;</w:t>
      </w:r>
    </w:p>
    <w:p w14:paraId="2737A9DB" w14:textId="77777777" w:rsidR="00975E63" w:rsidRPr="008B6880" w:rsidRDefault="00975E63" w:rsidP="00975E63">
      <w:pPr>
        <w:pStyle w:val="Akapitzlist"/>
        <w:numPr>
          <w:ilvl w:val="0"/>
          <w:numId w:val="40"/>
        </w:numPr>
        <w:spacing w:after="4" w:line="269" w:lineRule="auto"/>
        <w:ind w:right="158"/>
        <w:rPr>
          <w:color w:val="auto"/>
        </w:rPr>
      </w:pPr>
      <w:r w:rsidRPr="008B6880">
        <w:rPr>
          <w:color w:val="auto"/>
        </w:rPr>
        <w:t>pozostałe wydatki nie związane z realizacją projektu.</w:t>
      </w:r>
    </w:p>
    <w:p w14:paraId="318D41EE" w14:textId="43F86E74" w:rsidR="00C10D58" w:rsidRPr="00AC427E" w:rsidRDefault="00C10D58" w:rsidP="00975E63">
      <w:pPr>
        <w:pStyle w:val="Nagwek1"/>
        <w:numPr>
          <w:ilvl w:val="0"/>
          <w:numId w:val="0"/>
        </w:numPr>
        <w:spacing w:before="240"/>
        <w:rPr>
          <w:color w:val="EE0000"/>
        </w:rPr>
      </w:pPr>
    </w:p>
    <w:sectPr w:rsidR="00C10D58" w:rsidRPr="00AC427E">
      <w:footerReference w:type="even" r:id="rId8"/>
      <w:footerReference w:type="default" r:id="rId9"/>
      <w:footerReference w:type="first" r:id="rId10"/>
      <w:footnotePr>
        <w:numRestart w:val="eachPage"/>
      </w:footnotePr>
      <w:pgSz w:w="11900" w:h="16840"/>
      <w:pgMar w:top="1417" w:right="1407" w:bottom="2069" w:left="1416" w:header="708" w:footer="6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95C16" w14:textId="77777777" w:rsidR="00901CB4" w:rsidRDefault="00901CB4">
      <w:pPr>
        <w:spacing w:after="0" w:line="240" w:lineRule="auto"/>
      </w:pPr>
      <w:r>
        <w:separator/>
      </w:r>
    </w:p>
  </w:endnote>
  <w:endnote w:type="continuationSeparator" w:id="0">
    <w:p w14:paraId="3B679E15" w14:textId="77777777" w:rsidR="00901CB4" w:rsidRDefault="00901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8E2D"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738235D4" w14:textId="77777777" w:rsidR="00C10D58" w:rsidRDefault="00B32CCF">
    <w:pPr>
      <w:spacing w:after="0" w:line="259" w:lineRule="auto"/>
      <w:ind w:left="0" w:right="-40" w:firstLine="0"/>
      <w:jc w:val="right"/>
    </w:pPr>
    <w:r>
      <w:rPr>
        <w:noProof/>
      </w:rPr>
      <w:drawing>
        <wp:anchor distT="0" distB="0" distL="114300" distR="114300" simplePos="0" relativeHeight="251658240" behindDoc="0" locked="0" layoutInCell="1" allowOverlap="0" wp14:anchorId="5D2B6D66" wp14:editId="6610D54B">
          <wp:simplePos x="0" y="0"/>
          <wp:positionH relativeFrom="page">
            <wp:posOffset>910336</wp:posOffset>
          </wp:positionH>
          <wp:positionV relativeFrom="page">
            <wp:posOffset>9543288</wp:posOffset>
          </wp:positionV>
          <wp:extent cx="5745481" cy="697992"/>
          <wp:effectExtent l="0" t="0" r="0" b="0"/>
          <wp:wrapSquare wrapText="bothSides"/>
          <wp:docPr id="3368"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9650C" w14:textId="77777777" w:rsidR="008B6880" w:rsidRDefault="008B6880" w:rsidP="008B6880">
    <w:pPr>
      <w:spacing w:after="0" w:line="259" w:lineRule="auto"/>
      <w:ind w:left="0" w:right="5" w:firstLine="0"/>
    </w:pPr>
  </w:p>
  <w:p w14:paraId="7905515A" w14:textId="35761B82" w:rsidR="00C10D58" w:rsidRDefault="00B32CCF" w:rsidP="006D5A36">
    <w:pPr>
      <w:spacing w:after="878" w:line="259" w:lineRule="auto"/>
      <w:ind w:left="0" w:right="5" w:firstLine="0"/>
      <w:jc w:val="center"/>
    </w:pPr>
    <w:r>
      <w:fldChar w:fldCharType="begin"/>
    </w:r>
    <w:r>
      <w:instrText xml:space="preserve"> PAGE   \* MERGEFORMAT </w:instrText>
    </w:r>
    <w:r>
      <w:fldChar w:fldCharType="separate"/>
    </w:r>
    <w:r w:rsidR="0063283B" w:rsidRPr="0063283B">
      <w:rPr>
        <w:noProof/>
        <w:sz w:val="22"/>
      </w:rPr>
      <w:t>4</w:t>
    </w:r>
    <w:r>
      <w:rPr>
        <w:sz w:val="22"/>
      </w:rPr>
      <w:fldChar w:fldCharType="end"/>
    </w:r>
  </w:p>
  <w:p w14:paraId="5C0EE0FB" w14:textId="77777777" w:rsidR="00C10D58" w:rsidRDefault="00B32CCF">
    <w:pPr>
      <w:spacing w:after="0" w:line="259" w:lineRule="auto"/>
      <w:ind w:left="0" w:right="-40" w:firstLine="0"/>
      <w:jc w:val="right"/>
    </w:pPr>
    <w:r>
      <w:rPr>
        <w:noProof/>
      </w:rPr>
      <w:drawing>
        <wp:anchor distT="0" distB="0" distL="114300" distR="114300" simplePos="0" relativeHeight="251659264" behindDoc="0" locked="0" layoutInCell="1" allowOverlap="0" wp14:anchorId="2ED38606" wp14:editId="03C95D9D">
          <wp:simplePos x="0" y="0"/>
          <wp:positionH relativeFrom="page">
            <wp:posOffset>910336</wp:posOffset>
          </wp:positionH>
          <wp:positionV relativeFrom="page">
            <wp:posOffset>9543288</wp:posOffset>
          </wp:positionV>
          <wp:extent cx="5745481" cy="697992"/>
          <wp:effectExtent l="0" t="0" r="0" b="0"/>
          <wp:wrapSquare wrapText="bothSides"/>
          <wp:docPr id="121663793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C778"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514C34F6" w14:textId="77777777" w:rsidR="00C10D58" w:rsidRDefault="00B32CCF">
    <w:pPr>
      <w:spacing w:after="0" w:line="259" w:lineRule="auto"/>
      <w:ind w:left="0" w:right="-40" w:firstLine="0"/>
      <w:jc w:val="right"/>
    </w:pPr>
    <w:r>
      <w:rPr>
        <w:noProof/>
      </w:rPr>
      <w:drawing>
        <wp:anchor distT="0" distB="0" distL="114300" distR="114300" simplePos="0" relativeHeight="251660288" behindDoc="0" locked="0" layoutInCell="1" allowOverlap="0" wp14:anchorId="5F1903CF" wp14:editId="5DB409BE">
          <wp:simplePos x="0" y="0"/>
          <wp:positionH relativeFrom="page">
            <wp:posOffset>910336</wp:posOffset>
          </wp:positionH>
          <wp:positionV relativeFrom="page">
            <wp:posOffset>9543288</wp:posOffset>
          </wp:positionV>
          <wp:extent cx="5745481" cy="697992"/>
          <wp:effectExtent l="0" t="0" r="0" b="0"/>
          <wp:wrapSquare wrapText="bothSides"/>
          <wp:docPr id="40391374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46507" w14:textId="77777777" w:rsidR="00901CB4" w:rsidRDefault="00901CB4">
      <w:pPr>
        <w:spacing w:after="0" w:line="261" w:lineRule="auto"/>
        <w:ind w:left="0" w:right="0" w:firstLine="0"/>
      </w:pPr>
      <w:r>
        <w:separator/>
      </w:r>
    </w:p>
  </w:footnote>
  <w:footnote w:type="continuationSeparator" w:id="0">
    <w:p w14:paraId="4B674AAF" w14:textId="77777777" w:rsidR="00901CB4" w:rsidRDefault="00901CB4">
      <w:pPr>
        <w:spacing w:after="0" w:line="261" w:lineRule="auto"/>
        <w:ind w:left="0" w:right="0" w:firstLine="0"/>
      </w:pPr>
      <w:r>
        <w:continuationSeparator/>
      </w:r>
    </w:p>
  </w:footnote>
  <w:footnote w:id="1">
    <w:p w14:paraId="7DC6C46D" w14:textId="77777777" w:rsidR="0048227F" w:rsidRDefault="0048227F" w:rsidP="0048227F">
      <w:pPr>
        <w:pStyle w:val="Tekstprzypisudolnego"/>
      </w:pPr>
      <w:r>
        <w:rPr>
          <w:rStyle w:val="Odwoanieprzypisudolnego"/>
        </w:rPr>
        <w:footnoteRef/>
      </w:r>
      <w:r>
        <w:t xml:space="preserve"> Łączny koszt projektu należy rozumieć jako całkowity koszt projektu obejmujący koszty kwalifikowalne i niekwalifikowalne.</w:t>
      </w:r>
    </w:p>
  </w:footnote>
  <w:footnote w:id="2">
    <w:p w14:paraId="03A0AAC2" w14:textId="77777777" w:rsidR="008D387C" w:rsidRDefault="008D387C" w:rsidP="008D387C">
      <w:pPr>
        <w:pStyle w:val="Tekstprzypisudolnego"/>
      </w:pPr>
      <w:r>
        <w:rPr>
          <w:rStyle w:val="Odwoanieprzypisudolnego"/>
        </w:rPr>
        <w:footnoteRef/>
      </w:r>
      <w:r>
        <w:t xml:space="preserve"> Łączny koszt projektu należy rozumieć jako całkowity koszt projektu obejmujący koszty kwalifikowalne i niekwalifikowalne.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409"/>
    <w:multiLevelType w:val="hybridMultilevel"/>
    <w:tmpl w:val="7534DBA8"/>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 w15:restartNumberingAfterBreak="0">
    <w:nsid w:val="0269260A"/>
    <w:multiLevelType w:val="hybridMultilevel"/>
    <w:tmpl w:val="225EE9BA"/>
    <w:lvl w:ilvl="0" w:tplc="3C5863E0">
      <w:start w:val="1"/>
      <w:numFmt w:val="upperRoman"/>
      <w:pStyle w:val="Nagwek1"/>
      <w:lvlText w:val="%1."/>
      <w:lvlJc w:val="left"/>
      <w:pPr>
        <w:ind w:left="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1" w:tplc="053E8F0E">
      <w:start w:val="1"/>
      <w:numFmt w:val="lowerLetter"/>
      <w:lvlText w:val="%2"/>
      <w:lvlJc w:val="left"/>
      <w:pPr>
        <w:ind w:left="10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2" w:tplc="7ED29A92">
      <w:start w:val="1"/>
      <w:numFmt w:val="lowerRoman"/>
      <w:lvlText w:val="%3"/>
      <w:lvlJc w:val="left"/>
      <w:pPr>
        <w:ind w:left="18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3" w:tplc="4426C00E">
      <w:start w:val="1"/>
      <w:numFmt w:val="decimal"/>
      <w:lvlText w:val="%4"/>
      <w:lvlJc w:val="left"/>
      <w:pPr>
        <w:ind w:left="25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4" w:tplc="8A767CAC">
      <w:start w:val="1"/>
      <w:numFmt w:val="lowerLetter"/>
      <w:lvlText w:val="%5"/>
      <w:lvlJc w:val="left"/>
      <w:pPr>
        <w:ind w:left="324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5" w:tplc="7A80F642">
      <w:start w:val="1"/>
      <w:numFmt w:val="lowerRoman"/>
      <w:lvlText w:val="%6"/>
      <w:lvlJc w:val="left"/>
      <w:pPr>
        <w:ind w:left="396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6" w:tplc="D39A6596">
      <w:start w:val="1"/>
      <w:numFmt w:val="decimal"/>
      <w:lvlText w:val="%7"/>
      <w:lvlJc w:val="left"/>
      <w:pPr>
        <w:ind w:left="46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7" w:tplc="849A9682">
      <w:start w:val="1"/>
      <w:numFmt w:val="lowerLetter"/>
      <w:lvlText w:val="%8"/>
      <w:lvlJc w:val="left"/>
      <w:pPr>
        <w:ind w:left="54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8" w:tplc="80DC012A">
      <w:start w:val="1"/>
      <w:numFmt w:val="lowerRoman"/>
      <w:lvlText w:val="%9"/>
      <w:lvlJc w:val="left"/>
      <w:pPr>
        <w:ind w:left="61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abstractNum>
  <w:abstractNum w:abstractNumId="2" w15:restartNumberingAfterBreak="0">
    <w:nsid w:val="02732F31"/>
    <w:multiLevelType w:val="hybridMultilevel"/>
    <w:tmpl w:val="6D2A5492"/>
    <w:lvl w:ilvl="0" w:tplc="6998724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4667107"/>
    <w:multiLevelType w:val="hybridMultilevel"/>
    <w:tmpl w:val="E800F3DA"/>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A2A7FD6"/>
    <w:multiLevelType w:val="hybridMultilevel"/>
    <w:tmpl w:val="DAB8665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A7B1CCB"/>
    <w:multiLevelType w:val="hybridMultilevel"/>
    <w:tmpl w:val="805AA072"/>
    <w:lvl w:ilvl="0" w:tplc="FFFFFFFF">
      <w:start w:val="1"/>
      <w:numFmt w:val="decimal"/>
      <w:lvlText w:val="%1."/>
      <w:lvlJc w:val="left"/>
      <w:pPr>
        <w:ind w:left="433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C56C4D"/>
    <w:multiLevelType w:val="hybridMultilevel"/>
    <w:tmpl w:val="4538E0BC"/>
    <w:lvl w:ilvl="0" w:tplc="0DB06486">
      <w:start w:val="1"/>
      <w:numFmt w:val="bullet"/>
      <w:lvlText w:val=""/>
      <w:lvlJc w:val="left"/>
      <w:pPr>
        <w:ind w:left="1440" w:hanging="360"/>
      </w:pPr>
      <w:rPr>
        <w:rFonts w:ascii="Symbol" w:hAnsi="Symbol" w:hint="default"/>
        <w:strike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26361D93"/>
    <w:multiLevelType w:val="hybridMultilevel"/>
    <w:tmpl w:val="874E31C0"/>
    <w:lvl w:ilvl="0" w:tplc="FFFFFFFF">
      <w:start w:val="1"/>
      <w:numFmt w:val="decimal"/>
      <w:lvlText w:val="%1."/>
      <w:lvlJc w:val="left"/>
      <w:pPr>
        <w:ind w:left="433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E40F46"/>
    <w:multiLevelType w:val="hybridMultilevel"/>
    <w:tmpl w:val="6C1E4596"/>
    <w:lvl w:ilvl="0" w:tplc="6998724E">
      <w:start w:val="1"/>
      <w:numFmt w:val="bullet"/>
      <w:lvlText w:val=""/>
      <w:lvlJc w:val="left"/>
      <w:pPr>
        <w:ind w:left="705" w:hanging="360"/>
      </w:pPr>
      <w:rPr>
        <w:rFonts w:ascii="Symbol" w:hAnsi="Symbo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9" w15:restartNumberingAfterBreak="0">
    <w:nsid w:val="38C064FC"/>
    <w:multiLevelType w:val="hybridMultilevel"/>
    <w:tmpl w:val="C10A24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E51E20"/>
    <w:multiLevelType w:val="hybridMultilevel"/>
    <w:tmpl w:val="EAD232B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FBA04EC"/>
    <w:multiLevelType w:val="hybridMultilevel"/>
    <w:tmpl w:val="EE92EF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7D47F1"/>
    <w:multiLevelType w:val="hybridMultilevel"/>
    <w:tmpl w:val="6B8EC03C"/>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412C7E66"/>
    <w:multiLevelType w:val="hybridMultilevel"/>
    <w:tmpl w:val="BF2483F6"/>
    <w:lvl w:ilvl="0" w:tplc="7FDEDD6A">
      <w:start w:val="1"/>
      <w:numFmt w:val="bullet"/>
      <w:lvlText w:val="-"/>
      <w:lvlJc w:val="left"/>
      <w:pPr>
        <w:ind w:left="720" w:hanging="360"/>
      </w:pPr>
      <w:rPr>
        <w:rFonts w:ascii="Arial" w:hAnsi="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14D5D99"/>
    <w:multiLevelType w:val="hybridMultilevel"/>
    <w:tmpl w:val="5A7CAD44"/>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5" w15:restartNumberingAfterBreak="0">
    <w:nsid w:val="434C0FE6"/>
    <w:multiLevelType w:val="hybridMultilevel"/>
    <w:tmpl w:val="A6D6E84A"/>
    <w:lvl w:ilvl="0" w:tplc="F2D43772">
      <w:start w:val="1"/>
      <w:numFmt w:val="bullet"/>
      <w:lvlText w:val=""/>
      <w:lvlJc w:val="left"/>
      <w:pPr>
        <w:ind w:left="1440" w:hanging="360"/>
      </w:pPr>
      <w:rPr>
        <w:rFonts w:ascii="Symbol" w:hAnsi="Symbol" w:hint="default"/>
        <w:strike w:val="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435D086D"/>
    <w:multiLevelType w:val="hybridMultilevel"/>
    <w:tmpl w:val="D6786FB8"/>
    <w:lvl w:ilvl="0" w:tplc="6E32DA68">
      <w:start w:val="1"/>
      <w:numFmt w:val="decimal"/>
      <w:lvlText w:val="%1."/>
      <w:lvlJc w:val="left"/>
      <w:pPr>
        <w:ind w:left="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0A278E">
      <w:start w:val="1"/>
      <w:numFmt w:val="decimal"/>
      <w:lvlText w:val="%2."/>
      <w:lvlJc w:val="left"/>
      <w:pPr>
        <w:ind w:left="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0C611C">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0E0B90">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7AFB98">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D38C56A">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84B412">
      <w:start w:val="1"/>
      <w:numFmt w:val="decimal"/>
      <w:lvlText w:val="%7"/>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0CABC0">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78ABC2">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4081C59"/>
    <w:multiLevelType w:val="hybridMultilevel"/>
    <w:tmpl w:val="8B3C1AB6"/>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43B40B8"/>
    <w:multiLevelType w:val="hybridMultilevel"/>
    <w:tmpl w:val="3C641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7A724B4"/>
    <w:multiLevelType w:val="hybridMultilevel"/>
    <w:tmpl w:val="6B807752"/>
    <w:lvl w:ilvl="0" w:tplc="FFFFFFF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670DC3"/>
    <w:multiLevelType w:val="hybridMultilevel"/>
    <w:tmpl w:val="4B682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16FC7"/>
    <w:multiLevelType w:val="hybridMultilevel"/>
    <w:tmpl w:val="F684E09C"/>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511C62BE"/>
    <w:multiLevelType w:val="hybridMultilevel"/>
    <w:tmpl w:val="A4AE4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196098"/>
    <w:multiLevelType w:val="hybridMultilevel"/>
    <w:tmpl w:val="E84A0422"/>
    <w:lvl w:ilvl="0" w:tplc="CA743962">
      <w:start w:val="1"/>
      <w:numFmt w:val="lowerLetter"/>
      <w:lvlText w:val="%1)"/>
      <w:lvlJc w:val="left"/>
      <w:pPr>
        <w:ind w:left="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04009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8C9DE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9363E8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1AEFD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2CDE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B0B82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0ACD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1C2C4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5D100BF"/>
    <w:multiLevelType w:val="hybridMultilevel"/>
    <w:tmpl w:val="B60427F6"/>
    <w:lvl w:ilvl="0" w:tplc="6998724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56472D77"/>
    <w:multiLevelType w:val="hybridMultilevel"/>
    <w:tmpl w:val="AE9AFE1C"/>
    <w:lvl w:ilvl="0" w:tplc="FFFFFFFF">
      <w:start w:val="1"/>
      <w:numFmt w:val="decimal"/>
      <w:lvlText w:val="%1."/>
      <w:lvlJc w:val="left"/>
      <w:pPr>
        <w:ind w:left="461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567D3445"/>
    <w:multiLevelType w:val="hybridMultilevel"/>
    <w:tmpl w:val="EC00709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05080E"/>
    <w:multiLevelType w:val="hybridMultilevel"/>
    <w:tmpl w:val="D15413E8"/>
    <w:lvl w:ilvl="0" w:tplc="693EE8D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58E75B52"/>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28100A"/>
    <w:multiLevelType w:val="hybridMultilevel"/>
    <w:tmpl w:val="16F88C92"/>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B087299"/>
    <w:multiLevelType w:val="hybridMultilevel"/>
    <w:tmpl w:val="5950AB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D8E3856"/>
    <w:multiLevelType w:val="hybridMultilevel"/>
    <w:tmpl w:val="F0AA3382"/>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25921AC"/>
    <w:multiLevelType w:val="hybridMultilevel"/>
    <w:tmpl w:val="D898D02A"/>
    <w:lvl w:ilvl="0" w:tplc="6998724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72C248F2"/>
    <w:multiLevelType w:val="hybridMultilevel"/>
    <w:tmpl w:val="7534DBA8"/>
    <w:lvl w:ilvl="0" w:tplc="FFFFFFFF">
      <w:start w:val="1"/>
      <w:numFmt w:val="decimal"/>
      <w:lvlText w:val="%1."/>
      <w:lvlJc w:val="left"/>
      <w:pPr>
        <w:ind w:left="2880" w:hanging="360"/>
      </w:pPr>
    </w:lvl>
    <w:lvl w:ilvl="1" w:tplc="FFFFFFFF" w:tentative="1">
      <w:start w:val="1"/>
      <w:numFmt w:val="lowerLetter"/>
      <w:lvlText w:val="%2."/>
      <w:lvlJc w:val="left"/>
      <w:pPr>
        <w:ind w:left="3600" w:hanging="360"/>
      </w:pPr>
    </w:lvl>
    <w:lvl w:ilvl="2" w:tplc="FFFFFFFF" w:tentative="1">
      <w:start w:val="1"/>
      <w:numFmt w:val="lowerRoman"/>
      <w:lvlText w:val="%3."/>
      <w:lvlJc w:val="right"/>
      <w:pPr>
        <w:ind w:left="4320" w:hanging="180"/>
      </w:pPr>
    </w:lvl>
    <w:lvl w:ilvl="3" w:tplc="FFFFFFFF" w:tentative="1">
      <w:start w:val="1"/>
      <w:numFmt w:val="decimal"/>
      <w:lvlText w:val="%4."/>
      <w:lvlJc w:val="left"/>
      <w:pPr>
        <w:ind w:left="5040" w:hanging="360"/>
      </w:pPr>
    </w:lvl>
    <w:lvl w:ilvl="4" w:tplc="FFFFFFFF" w:tentative="1">
      <w:start w:val="1"/>
      <w:numFmt w:val="lowerLetter"/>
      <w:lvlText w:val="%5."/>
      <w:lvlJc w:val="left"/>
      <w:pPr>
        <w:ind w:left="5760" w:hanging="360"/>
      </w:pPr>
    </w:lvl>
    <w:lvl w:ilvl="5" w:tplc="FFFFFFFF" w:tentative="1">
      <w:start w:val="1"/>
      <w:numFmt w:val="lowerRoman"/>
      <w:lvlText w:val="%6."/>
      <w:lvlJc w:val="right"/>
      <w:pPr>
        <w:ind w:left="6480" w:hanging="180"/>
      </w:pPr>
    </w:lvl>
    <w:lvl w:ilvl="6" w:tplc="FFFFFFFF" w:tentative="1">
      <w:start w:val="1"/>
      <w:numFmt w:val="decimal"/>
      <w:lvlText w:val="%7."/>
      <w:lvlJc w:val="left"/>
      <w:pPr>
        <w:ind w:left="7200" w:hanging="360"/>
      </w:pPr>
    </w:lvl>
    <w:lvl w:ilvl="7" w:tplc="FFFFFFFF" w:tentative="1">
      <w:start w:val="1"/>
      <w:numFmt w:val="lowerLetter"/>
      <w:lvlText w:val="%8."/>
      <w:lvlJc w:val="left"/>
      <w:pPr>
        <w:ind w:left="7920" w:hanging="360"/>
      </w:pPr>
    </w:lvl>
    <w:lvl w:ilvl="8" w:tplc="FFFFFFFF" w:tentative="1">
      <w:start w:val="1"/>
      <w:numFmt w:val="lowerRoman"/>
      <w:lvlText w:val="%9."/>
      <w:lvlJc w:val="right"/>
      <w:pPr>
        <w:ind w:left="8640" w:hanging="180"/>
      </w:pPr>
    </w:lvl>
  </w:abstractNum>
  <w:abstractNum w:abstractNumId="34" w15:restartNumberingAfterBreak="0">
    <w:nsid w:val="72CC5C5D"/>
    <w:multiLevelType w:val="hybridMultilevel"/>
    <w:tmpl w:val="639002E2"/>
    <w:lvl w:ilvl="0" w:tplc="693EE8D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5" w15:restartNumberingAfterBreak="0">
    <w:nsid w:val="73735851"/>
    <w:multiLevelType w:val="hybridMultilevel"/>
    <w:tmpl w:val="BB2E4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5BC7293"/>
    <w:multiLevelType w:val="hybridMultilevel"/>
    <w:tmpl w:val="607E2756"/>
    <w:lvl w:ilvl="0" w:tplc="6998724E">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7D296658"/>
    <w:multiLevelType w:val="hybridMultilevel"/>
    <w:tmpl w:val="00E256BA"/>
    <w:lvl w:ilvl="0" w:tplc="0415000F">
      <w:start w:val="1"/>
      <w:numFmt w:val="decimal"/>
      <w:lvlText w:val="%1."/>
      <w:lvlJc w:val="left"/>
      <w:pPr>
        <w:ind w:left="433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EC34375"/>
    <w:multiLevelType w:val="hybridMultilevel"/>
    <w:tmpl w:val="17CC67A8"/>
    <w:lvl w:ilvl="0" w:tplc="0415000F">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455177533">
    <w:abstractNumId w:val="23"/>
  </w:num>
  <w:num w:numId="2" w16cid:durableId="1304852929">
    <w:abstractNumId w:val="16"/>
  </w:num>
  <w:num w:numId="3" w16cid:durableId="2098940032">
    <w:abstractNumId w:val="1"/>
  </w:num>
  <w:num w:numId="4" w16cid:durableId="1467115640">
    <w:abstractNumId w:val="20"/>
  </w:num>
  <w:num w:numId="5" w16cid:durableId="351683413">
    <w:abstractNumId w:val="30"/>
  </w:num>
  <w:num w:numId="6" w16cid:durableId="985625222">
    <w:abstractNumId w:val="18"/>
  </w:num>
  <w:num w:numId="7" w16cid:durableId="1334526614">
    <w:abstractNumId w:val="22"/>
  </w:num>
  <w:num w:numId="8" w16cid:durableId="79566251">
    <w:abstractNumId w:val="37"/>
  </w:num>
  <w:num w:numId="9" w16cid:durableId="1518353458">
    <w:abstractNumId w:val="13"/>
  </w:num>
  <w:num w:numId="10" w16cid:durableId="1003628495">
    <w:abstractNumId w:val="29"/>
  </w:num>
  <w:num w:numId="11" w16cid:durableId="466708973">
    <w:abstractNumId w:val="28"/>
  </w:num>
  <w:num w:numId="12" w16cid:durableId="64495115">
    <w:abstractNumId w:val="10"/>
  </w:num>
  <w:num w:numId="13" w16cid:durableId="120542320">
    <w:abstractNumId w:val="6"/>
  </w:num>
  <w:num w:numId="14" w16cid:durableId="1533032882">
    <w:abstractNumId w:val="4"/>
  </w:num>
  <w:num w:numId="15" w16cid:durableId="1904412610">
    <w:abstractNumId w:val="12"/>
  </w:num>
  <w:num w:numId="16" w16cid:durableId="2075927724">
    <w:abstractNumId w:val="1"/>
  </w:num>
  <w:num w:numId="17" w16cid:durableId="2128044820">
    <w:abstractNumId w:val="14"/>
  </w:num>
  <w:num w:numId="18" w16cid:durableId="2138136159">
    <w:abstractNumId w:val="8"/>
  </w:num>
  <w:num w:numId="19" w16cid:durableId="1517427459">
    <w:abstractNumId w:val="0"/>
  </w:num>
  <w:num w:numId="20" w16cid:durableId="1763866604">
    <w:abstractNumId w:val="31"/>
  </w:num>
  <w:num w:numId="21" w16cid:durableId="1816295334">
    <w:abstractNumId w:val="1"/>
  </w:num>
  <w:num w:numId="22" w16cid:durableId="1060521528">
    <w:abstractNumId w:val="33"/>
  </w:num>
  <w:num w:numId="23" w16cid:durableId="988635040">
    <w:abstractNumId w:val="19"/>
  </w:num>
  <w:num w:numId="24" w16cid:durableId="229922040">
    <w:abstractNumId w:val="2"/>
  </w:num>
  <w:num w:numId="25" w16cid:durableId="976029712">
    <w:abstractNumId w:val="32"/>
  </w:num>
  <w:num w:numId="26" w16cid:durableId="36398623">
    <w:abstractNumId w:val="36"/>
  </w:num>
  <w:num w:numId="27" w16cid:durableId="859392120">
    <w:abstractNumId w:val="26"/>
  </w:num>
  <w:num w:numId="28" w16cid:durableId="1260025614">
    <w:abstractNumId w:val="7"/>
  </w:num>
  <w:num w:numId="29" w16cid:durableId="567762521">
    <w:abstractNumId w:val="17"/>
  </w:num>
  <w:num w:numId="30" w16cid:durableId="1607350992">
    <w:abstractNumId w:val="5"/>
  </w:num>
  <w:num w:numId="31" w16cid:durableId="197788650">
    <w:abstractNumId w:val="24"/>
  </w:num>
  <w:num w:numId="32" w16cid:durableId="377584601">
    <w:abstractNumId w:val="15"/>
  </w:num>
  <w:num w:numId="33" w16cid:durableId="975766383">
    <w:abstractNumId w:val="25"/>
  </w:num>
  <w:num w:numId="34" w16cid:durableId="221333367">
    <w:abstractNumId w:val="35"/>
  </w:num>
  <w:num w:numId="35" w16cid:durableId="953243703">
    <w:abstractNumId w:val="3"/>
  </w:num>
  <w:num w:numId="36" w16cid:durableId="316080571">
    <w:abstractNumId w:val="38"/>
  </w:num>
  <w:num w:numId="37" w16cid:durableId="1563253601">
    <w:abstractNumId w:val="21"/>
  </w:num>
  <w:num w:numId="38" w16cid:durableId="1474566328">
    <w:abstractNumId w:val="34"/>
  </w:num>
  <w:num w:numId="39" w16cid:durableId="1144810195">
    <w:abstractNumId w:val="27"/>
  </w:num>
  <w:num w:numId="40" w16cid:durableId="890458131">
    <w:abstractNumId w:val="9"/>
  </w:num>
  <w:num w:numId="41" w16cid:durableId="1118792777">
    <w:abstractNumId w:val="11"/>
  </w:num>
  <w:num w:numId="42" w16cid:durableId="1187255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58"/>
    <w:rsid w:val="000071FA"/>
    <w:rsid w:val="0001459C"/>
    <w:rsid w:val="0002586A"/>
    <w:rsid w:val="000303C9"/>
    <w:rsid w:val="00053ABE"/>
    <w:rsid w:val="00055FDE"/>
    <w:rsid w:val="00070B73"/>
    <w:rsid w:val="00085FDA"/>
    <w:rsid w:val="000A2E4C"/>
    <w:rsid w:val="000A5C6F"/>
    <w:rsid w:val="000D5F6E"/>
    <w:rsid w:val="000E43D7"/>
    <w:rsid w:val="00146C2F"/>
    <w:rsid w:val="00163598"/>
    <w:rsid w:val="00183315"/>
    <w:rsid w:val="0019699D"/>
    <w:rsid w:val="001A6E70"/>
    <w:rsid w:val="001B0195"/>
    <w:rsid w:val="001C1C5E"/>
    <w:rsid w:val="001F3E94"/>
    <w:rsid w:val="001F3F83"/>
    <w:rsid w:val="001F69CF"/>
    <w:rsid w:val="00220852"/>
    <w:rsid w:val="00227A1F"/>
    <w:rsid w:val="0025672B"/>
    <w:rsid w:val="002A3757"/>
    <w:rsid w:val="002D5939"/>
    <w:rsid w:val="002E6C59"/>
    <w:rsid w:val="002F528C"/>
    <w:rsid w:val="0031382F"/>
    <w:rsid w:val="003332BC"/>
    <w:rsid w:val="00343B3A"/>
    <w:rsid w:val="003531E9"/>
    <w:rsid w:val="0035355D"/>
    <w:rsid w:val="003659CB"/>
    <w:rsid w:val="003819F5"/>
    <w:rsid w:val="00391980"/>
    <w:rsid w:val="003B5B03"/>
    <w:rsid w:val="003C6141"/>
    <w:rsid w:val="003D2137"/>
    <w:rsid w:val="003E25AA"/>
    <w:rsid w:val="003F4A03"/>
    <w:rsid w:val="00406CB2"/>
    <w:rsid w:val="00447D56"/>
    <w:rsid w:val="00463FE6"/>
    <w:rsid w:val="00465572"/>
    <w:rsid w:val="004773E6"/>
    <w:rsid w:val="00481450"/>
    <w:rsid w:val="0048227F"/>
    <w:rsid w:val="00487A90"/>
    <w:rsid w:val="00493A80"/>
    <w:rsid w:val="00497B67"/>
    <w:rsid w:val="004A6D23"/>
    <w:rsid w:val="004E5C7D"/>
    <w:rsid w:val="00507A68"/>
    <w:rsid w:val="005132FD"/>
    <w:rsid w:val="00514782"/>
    <w:rsid w:val="00543FD2"/>
    <w:rsid w:val="0054520D"/>
    <w:rsid w:val="00552BBA"/>
    <w:rsid w:val="00565E78"/>
    <w:rsid w:val="005666D5"/>
    <w:rsid w:val="00574318"/>
    <w:rsid w:val="005C0F41"/>
    <w:rsid w:val="005D358C"/>
    <w:rsid w:val="005E7DF5"/>
    <w:rsid w:val="005F049F"/>
    <w:rsid w:val="005F1CDC"/>
    <w:rsid w:val="0060181C"/>
    <w:rsid w:val="0063283B"/>
    <w:rsid w:val="00643600"/>
    <w:rsid w:val="006844A9"/>
    <w:rsid w:val="00684ECE"/>
    <w:rsid w:val="0069750F"/>
    <w:rsid w:val="006A6D49"/>
    <w:rsid w:val="006C34C7"/>
    <w:rsid w:val="006D5A36"/>
    <w:rsid w:val="006F4D0D"/>
    <w:rsid w:val="00715C8E"/>
    <w:rsid w:val="00722347"/>
    <w:rsid w:val="00725C82"/>
    <w:rsid w:val="007264F6"/>
    <w:rsid w:val="00731FBB"/>
    <w:rsid w:val="00734B92"/>
    <w:rsid w:val="0073751D"/>
    <w:rsid w:val="00755653"/>
    <w:rsid w:val="0076656A"/>
    <w:rsid w:val="00770F9D"/>
    <w:rsid w:val="00772424"/>
    <w:rsid w:val="007734B4"/>
    <w:rsid w:val="00791C88"/>
    <w:rsid w:val="0079241E"/>
    <w:rsid w:val="007A6A16"/>
    <w:rsid w:val="007A7D3E"/>
    <w:rsid w:val="007C1647"/>
    <w:rsid w:val="007C524E"/>
    <w:rsid w:val="007C5C72"/>
    <w:rsid w:val="007C70BA"/>
    <w:rsid w:val="007F451E"/>
    <w:rsid w:val="00814891"/>
    <w:rsid w:val="00836576"/>
    <w:rsid w:val="0088012D"/>
    <w:rsid w:val="00890961"/>
    <w:rsid w:val="008B21A8"/>
    <w:rsid w:val="008B6880"/>
    <w:rsid w:val="008C199E"/>
    <w:rsid w:val="008D387C"/>
    <w:rsid w:val="00901CB4"/>
    <w:rsid w:val="00914C83"/>
    <w:rsid w:val="00915FC9"/>
    <w:rsid w:val="00935012"/>
    <w:rsid w:val="00935C1F"/>
    <w:rsid w:val="00957B11"/>
    <w:rsid w:val="00961B2D"/>
    <w:rsid w:val="0096210F"/>
    <w:rsid w:val="00962359"/>
    <w:rsid w:val="0096372E"/>
    <w:rsid w:val="00975E63"/>
    <w:rsid w:val="00982EC1"/>
    <w:rsid w:val="009904E3"/>
    <w:rsid w:val="00992244"/>
    <w:rsid w:val="009928C1"/>
    <w:rsid w:val="009B4935"/>
    <w:rsid w:val="009C4B4C"/>
    <w:rsid w:val="009E64B8"/>
    <w:rsid w:val="009F11EB"/>
    <w:rsid w:val="00A042B0"/>
    <w:rsid w:val="00A14559"/>
    <w:rsid w:val="00A160B8"/>
    <w:rsid w:val="00A322EF"/>
    <w:rsid w:val="00A346C5"/>
    <w:rsid w:val="00A3516E"/>
    <w:rsid w:val="00A41E7C"/>
    <w:rsid w:val="00A5211F"/>
    <w:rsid w:val="00A55D85"/>
    <w:rsid w:val="00A81356"/>
    <w:rsid w:val="00AB13EF"/>
    <w:rsid w:val="00AC427E"/>
    <w:rsid w:val="00AD4101"/>
    <w:rsid w:val="00AF0A79"/>
    <w:rsid w:val="00AF5ED9"/>
    <w:rsid w:val="00B17364"/>
    <w:rsid w:val="00B174C9"/>
    <w:rsid w:val="00B2782D"/>
    <w:rsid w:val="00B31264"/>
    <w:rsid w:val="00B32CCF"/>
    <w:rsid w:val="00B32FCA"/>
    <w:rsid w:val="00B33097"/>
    <w:rsid w:val="00B45C17"/>
    <w:rsid w:val="00B532AB"/>
    <w:rsid w:val="00B631B1"/>
    <w:rsid w:val="00B64718"/>
    <w:rsid w:val="00B6504B"/>
    <w:rsid w:val="00B84793"/>
    <w:rsid w:val="00BA0CEF"/>
    <w:rsid w:val="00BA2EFE"/>
    <w:rsid w:val="00BA4E15"/>
    <w:rsid w:val="00BA5E88"/>
    <w:rsid w:val="00BB14C4"/>
    <w:rsid w:val="00BC6C6E"/>
    <w:rsid w:val="00BD07BA"/>
    <w:rsid w:val="00BD7310"/>
    <w:rsid w:val="00BE6D3C"/>
    <w:rsid w:val="00C10D58"/>
    <w:rsid w:val="00C20274"/>
    <w:rsid w:val="00C2125B"/>
    <w:rsid w:val="00C33E27"/>
    <w:rsid w:val="00C663F9"/>
    <w:rsid w:val="00C77844"/>
    <w:rsid w:val="00C83EFA"/>
    <w:rsid w:val="00C94CF1"/>
    <w:rsid w:val="00CB2151"/>
    <w:rsid w:val="00CB6D5C"/>
    <w:rsid w:val="00CC4DF6"/>
    <w:rsid w:val="00CD3AB6"/>
    <w:rsid w:val="00CF2AB1"/>
    <w:rsid w:val="00CF6757"/>
    <w:rsid w:val="00CF7AF4"/>
    <w:rsid w:val="00D1180A"/>
    <w:rsid w:val="00D27021"/>
    <w:rsid w:val="00D36422"/>
    <w:rsid w:val="00D95C96"/>
    <w:rsid w:val="00DA7943"/>
    <w:rsid w:val="00DE4922"/>
    <w:rsid w:val="00DF11AE"/>
    <w:rsid w:val="00DF4FE2"/>
    <w:rsid w:val="00DF64F1"/>
    <w:rsid w:val="00E04A52"/>
    <w:rsid w:val="00E10D31"/>
    <w:rsid w:val="00E33204"/>
    <w:rsid w:val="00E6548D"/>
    <w:rsid w:val="00EA21F7"/>
    <w:rsid w:val="00EB1D27"/>
    <w:rsid w:val="00ED07F0"/>
    <w:rsid w:val="00ED3C52"/>
    <w:rsid w:val="00EE4C65"/>
    <w:rsid w:val="00F072BD"/>
    <w:rsid w:val="00F131DE"/>
    <w:rsid w:val="00F249FC"/>
    <w:rsid w:val="00F26B53"/>
    <w:rsid w:val="00F272B8"/>
    <w:rsid w:val="00F31752"/>
    <w:rsid w:val="00F42E96"/>
    <w:rsid w:val="00F82AC2"/>
    <w:rsid w:val="00F924DD"/>
    <w:rsid w:val="00F927AA"/>
    <w:rsid w:val="00FA528C"/>
    <w:rsid w:val="00FA70BE"/>
    <w:rsid w:val="00FA7A93"/>
    <w:rsid w:val="00FE0225"/>
    <w:rsid w:val="00FE22B2"/>
    <w:rsid w:val="00FE3D25"/>
    <w:rsid w:val="00FE3EE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B74E9"/>
  <w15:docId w15:val="{F1E58E01-A2A8-4F6B-9FB0-4E1E886E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83EFA"/>
    <w:pPr>
      <w:spacing w:after="9" w:line="268" w:lineRule="auto"/>
      <w:ind w:left="10" w:right="2" w:hanging="10"/>
      <w:jc w:val="both"/>
    </w:pPr>
    <w:rPr>
      <w:rFonts w:ascii="Arial" w:eastAsia="Arial" w:hAnsi="Arial" w:cs="Arial"/>
      <w:color w:val="000000"/>
      <w:sz w:val="24"/>
    </w:rPr>
  </w:style>
  <w:style w:type="paragraph" w:styleId="Nagwek1">
    <w:name w:val="heading 1"/>
    <w:next w:val="Normalny"/>
    <w:link w:val="Nagwek1Znak"/>
    <w:uiPriority w:val="9"/>
    <w:qFormat/>
    <w:pPr>
      <w:keepNext/>
      <w:keepLines/>
      <w:numPr>
        <w:numId w:val="3"/>
      </w:numPr>
      <w:spacing w:after="0"/>
      <w:outlineLvl w:val="0"/>
    </w:pPr>
    <w:rPr>
      <w:rFonts w:ascii="Arial" w:eastAsia="Arial" w:hAnsi="Arial" w:cs="Arial"/>
      <w:b/>
      <w:color w:val="000000"/>
      <w:sz w:val="28"/>
      <w:u w:val="single" w:color="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8"/>
      <w:u w:val="single" w:color="000000"/>
    </w:rPr>
  </w:style>
  <w:style w:type="paragraph" w:customStyle="1" w:styleId="footnotedescription">
    <w:name w:val="footnote description"/>
    <w:next w:val="Normalny"/>
    <w:link w:val="footnotedescriptionChar"/>
    <w:hidden/>
    <w:pPr>
      <w:spacing w:after="0" w:line="261" w:lineRule="auto"/>
      <w:jc w:val="both"/>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footnotemark">
    <w:name w:val="footnote mark"/>
    <w:hidden/>
    <w:rPr>
      <w:rFonts w:ascii="Arial" w:eastAsia="Arial" w:hAnsi="Arial" w:cs="Arial"/>
      <w:color w:val="000000"/>
      <w:sz w:val="20"/>
      <w:vertAlign w:val="superscript"/>
    </w:rPr>
  </w:style>
  <w:style w:type="paragraph" w:styleId="Akapitzlist">
    <w:name w:val="List Paragraph"/>
    <w:aliases w:val="Numerowanie,List Paragraph,Akapit z listą BS,Akapit z listą11,Numbered Para 1,No Spacing1,List Paragraph Char Char Char,Indicator Text,Listaszerű bekezdés1,List Paragraph à moi,Bullet 1,Akapit z list¹1,F5 List Paragraph,Recommendation,3,L"/>
    <w:basedOn w:val="Normalny"/>
    <w:link w:val="AkapitzlistZnak"/>
    <w:uiPriority w:val="34"/>
    <w:qFormat/>
    <w:rsid w:val="00B17364"/>
    <w:pPr>
      <w:ind w:left="720"/>
      <w:contextualSpacing/>
    </w:pPr>
  </w:style>
  <w:style w:type="character" w:styleId="Odwoaniedokomentarza">
    <w:name w:val="annotation reference"/>
    <w:basedOn w:val="Domylnaczcionkaakapitu"/>
    <w:uiPriority w:val="99"/>
    <w:semiHidden/>
    <w:unhideWhenUsed/>
    <w:rsid w:val="0069750F"/>
    <w:rPr>
      <w:sz w:val="16"/>
      <w:szCs w:val="16"/>
    </w:rPr>
  </w:style>
  <w:style w:type="paragraph" w:styleId="Tekstkomentarza">
    <w:name w:val="annotation text"/>
    <w:basedOn w:val="Normalny"/>
    <w:link w:val="TekstkomentarzaZnak"/>
    <w:uiPriority w:val="99"/>
    <w:semiHidden/>
    <w:unhideWhenUsed/>
    <w:rsid w:val="0069750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69750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69750F"/>
    <w:rPr>
      <w:b/>
      <w:bCs/>
    </w:rPr>
  </w:style>
  <w:style w:type="character" w:customStyle="1" w:styleId="TematkomentarzaZnak">
    <w:name w:val="Temat komentarza Znak"/>
    <w:basedOn w:val="TekstkomentarzaZnak"/>
    <w:link w:val="Tematkomentarza"/>
    <w:uiPriority w:val="99"/>
    <w:semiHidden/>
    <w:rsid w:val="0069750F"/>
    <w:rPr>
      <w:rFonts w:ascii="Arial" w:eastAsia="Arial" w:hAnsi="Arial" w:cs="Arial"/>
      <w:b/>
      <w:bCs/>
      <w:color w:val="000000"/>
      <w:sz w:val="20"/>
      <w:szCs w:val="20"/>
    </w:rPr>
  </w:style>
  <w:style w:type="paragraph" w:styleId="Poprawka">
    <w:name w:val="Revision"/>
    <w:hidden/>
    <w:uiPriority w:val="99"/>
    <w:semiHidden/>
    <w:rsid w:val="0069750F"/>
    <w:pPr>
      <w:spacing w:after="0" w:line="240" w:lineRule="auto"/>
    </w:pPr>
    <w:rPr>
      <w:rFonts w:ascii="Arial" w:eastAsia="Arial" w:hAnsi="Arial" w:cs="Arial"/>
      <w:color w:val="000000"/>
      <w:sz w:val="24"/>
    </w:rPr>
  </w:style>
  <w:style w:type="paragraph" w:styleId="Tekstdymka">
    <w:name w:val="Balloon Text"/>
    <w:basedOn w:val="Normalny"/>
    <w:link w:val="TekstdymkaZnak"/>
    <w:uiPriority w:val="99"/>
    <w:semiHidden/>
    <w:unhideWhenUsed/>
    <w:rsid w:val="00731F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1FBB"/>
    <w:rPr>
      <w:rFonts w:ascii="Segoe UI" w:eastAsia="Arial" w:hAnsi="Segoe UI" w:cs="Segoe UI"/>
      <w:color w:val="000000"/>
      <w:sz w:val="18"/>
      <w:szCs w:val="18"/>
    </w:rPr>
  </w:style>
  <w:style w:type="paragraph" w:styleId="Nagwek">
    <w:name w:val="header"/>
    <w:basedOn w:val="Normalny"/>
    <w:link w:val="NagwekZnak"/>
    <w:uiPriority w:val="99"/>
    <w:unhideWhenUsed/>
    <w:rsid w:val="006D5A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5A36"/>
    <w:rPr>
      <w:rFonts w:ascii="Arial" w:eastAsia="Arial" w:hAnsi="Arial" w:cs="Arial"/>
      <w:color w:val="000000"/>
      <w:sz w:val="24"/>
    </w:rPr>
  </w:style>
  <w:style w:type="paragraph" w:styleId="Tekstprzypisudolnego">
    <w:name w:val="footnote text"/>
    <w:basedOn w:val="Normalny"/>
    <w:link w:val="TekstprzypisudolnegoZnak"/>
    <w:uiPriority w:val="99"/>
    <w:semiHidden/>
    <w:unhideWhenUsed/>
    <w:rsid w:val="003D21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D2137"/>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3D2137"/>
    <w:rPr>
      <w:vertAlign w:val="superscript"/>
    </w:rPr>
  </w:style>
  <w:style w:type="character" w:customStyle="1" w:styleId="AkapitzlistZnak">
    <w:name w:val="Akapit z listą Znak"/>
    <w:aliases w:val="Numerowanie Znak,List Paragraph Znak,Akapit z listą BS Znak,Akapit z listą11 Znak,Numbered Para 1 Znak,No Spacing1 Znak,List Paragraph Char Char Char Znak,Indicator Text Znak,Listaszerű bekezdés1 Znak,List Paragraph à moi Znak,3 Znak"/>
    <w:basedOn w:val="Domylnaczcionkaakapitu"/>
    <w:link w:val="Akapitzlist"/>
    <w:uiPriority w:val="1"/>
    <w:qFormat/>
    <w:rsid w:val="000071FA"/>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A30AB-4AC7-411B-8769-A74550A3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11</Pages>
  <Words>3237</Words>
  <Characters>19423</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Katalog wydatków FELB.02.09-IZ.00-001_23</vt:lpstr>
    </vt:vector>
  </TitlesOfParts>
  <Company/>
  <LinksUpToDate>false</LinksUpToDate>
  <CharactersWithSpaces>22615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wydatków FELB.02.09-IZ.00-001_23</dc:title>
  <dc:subject/>
  <dc:creator>a.ogorzalek</dc:creator>
  <cp:keywords/>
  <cp:lastModifiedBy>Korach Angelika</cp:lastModifiedBy>
  <cp:revision>85</cp:revision>
  <cp:lastPrinted>2024-09-03T09:19:00Z</cp:lastPrinted>
  <dcterms:created xsi:type="dcterms:W3CDTF">2023-09-15T08:28:00Z</dcterms:created>
  <dcterms:modified xsi:type="dcterms:W3CDTF">2026-03-23T11:27:00Z</dcterms:modified>
</cp:coreProperties>
</file>